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Aharoni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Aharoni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Aharoni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color w:val="auto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color w:val="auto"/>
          <w:sz w:val="44"/>
          <w:szCs w:val="32"/>
          <w:lang w:val="en-US" w:eastAsia="zh-CN"/>
        </w:rPr>
        <w:t>第七批卫生健康行业经济管理领军人才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color w:val="auto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color w:val="auto"/>
          <w:sz w:val="44"/>
          <w:szCs w:val="32"/>
          <w:lang w:val="en-US" w:eastAsia="zh-CN"/>
        </w:rPr>
        <w:t>选拨考试省级推荐人选名单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4"/>
        <w:tblW w:w="88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772"/>
        <w:gridCol w:w="1371"/>
        <w:gridCol w:w="815"/>
        <w:gridCol w:w="43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仿宋_GB2312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培养方向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仿宋_GB2312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仿宋_GB2312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仿宋_GB2312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仿宋_GB2312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蔡丹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深圳市福田区卫生系统财务管理中心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（委派广州中医药大学深圳医院（福田）任财务部主任）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蔡珠明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陈柳诗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</w:t>
            </w:r>
            <w:r>
              <w:rPr>
                <w:rStyle w:val="6"/>
                <w:lang w:val="en-US" w:eastAsia="zh-CN" w:bidi="ar"/>
              </w:rPr>
              <w:t>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陈伟烽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中山市小榄人民医院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邓婕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方锐珠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中山大学孙逸仙纪念医院深汕中心医院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胡宝莹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黄蕾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黄丽诗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汕头大学医学院附属肿瘤医院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江姜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李钦全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梁雅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暨南大学附属顺德医院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廖聪玲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廖泓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汕头大学医学院第二附属医院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刘忠磊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陆志敏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佛山复星禅城医院有限公司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吴婷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南方医科大学第五附属医院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向娟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谢晓晶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东莞市松山湖中心医院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杨超颖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杨佳娜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杨理程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杨瑶瑶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姚莉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余薇佳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张春艳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深河人民医院（暨南大学附属第五医院）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张森琳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张思嘉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张苑凌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郑冰琳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钟碧媚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朱先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审计监督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黄晓萍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审计监督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姜荣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南方医科大学深圳口腔医院（坪山）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审计监督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李明宇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审计监督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梁朝鑫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审计监督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梁清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审计监督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审计监督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庞珍梅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审计监督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宋琳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审计监督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宿军杰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审计监督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王思缘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审计监督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徐蕾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审计监督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印婵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审计监督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余燕华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中山大学附属第七医院（深圳）</w:t>
            </w:r>
          </w:p>
        </w:tc>
      </w:tr>
    </w:tbl>
    <w:p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（按姓氏拼音排序）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haroni">
    <w:altName w:val="Times New Roman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765B8"/>
    <w:rsid w:val="4EAC6F5E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eastAsia="仿宋_GB2312" w:cs="Times New Roman"/>
      <w:sz w:val="32"/>
      <w:szCs w:val="24"/>
      <w:lang w:bidi="ar-SA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2025-06-26T09:20:15Z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