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pStyle w:val="3"/>
        <w:spacing w:before="0" w:after="0" w:line="560" w:lineRule="exact"/>
        <w:rPr>
          <w:rFonts w:hint="default"/>
          <w:color w:val="auto"/>
          <w:sz w:val="32"/>
          <w:lang w:eastAsia="zh-CN"/>
        </w:rPr>
      </w:pPr>
    </w:p>
    <w:p>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2025年职业卫生和放射卫生</w:t>
      </w:r>
      <w:r>
        <w:rPr>
          <w:rFonts w:hint="eastAsia" w:eastAsia="方正小标宋简体" w:cs="Times New Roman"/>
          <w:bCs/>
          <w:color w:val="auto"/>
          <w:sz w:val="44"/>
          <w:szCs w:val="44"/>
          <w:lang w:val="en-US" w:eastAsia="zh-CN"/>
        </w:rPr>
        <w:t>广东省</w:t>
      </w:r>
      <w:r>
        <w:rPr>
          <w:rFonts w:hint="default" w:ascii="Times New Roman" w:hAnsi="Times New Roman" w:eastAsia="方正小标宋简体" w:cs="Times New Roman"/>
          <w:bCs/>
          <w:color w:val="auto"/>
          <w:sz w:val="44"/>
          <w:szCs w:val="44"/>
        </w:rPr>
        <w:t>随机</w:t>
      </w:r>
    </w:p>
    <w:p>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监督抽查计划</w:t>
      </w:r>
    </w:p>
    <w:p>
      <w:pPr>
        <w:widowControl/>
        <w:spacing w:line="560" w:lineRule="exact"/>
        <w:ind w:firstLine="602"/>
        <w:jc w:val="left"/>
        <w:outlineLvl w:val="0"/>
        <w:rPr>
          <w:rFonts w:hint="default" w:ascii="Times New Roman" w:hAnsi="Times New Roman" w:eastAsia="黑体" w:cs="Times New Roman"/>
          <w:bCs/>
          <w:color w:val="auto"/>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02"/>
        <w:jc w:val="left"/>
        <w:textAlignment w:val="auto"/>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ascii="Times New Roman" w:hAnsi="Times New Roman" w:eastAsia="黑体" w:cs="Times New Roman"/>
          <w:bCs/>
          <w:color w:val="auto"/>
          <w:sz w:val="32"/>
          <w:szCs w:val="32"/>
        </w:rPr>
        <w:t>监督</w:t>
      </w:r>
      <w:r>
        <w:rPr>
          <w:rFonts w:hint="default" w:ascii="Times New Roman" w:hAnsi="Times New Roman" w:eastAsia="黑体" w:cs="Times New Roman"/>
          <w:bCs/>
          <w:color w:val="auto"/>
          <w:sz w:val="32"/>
          <w:szCs w:val="32"/>
        </w:rPr>
        <w:t>检查内容</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color w:val="auto"/>
          <w:kern w:val="0"/>
          <w:sz w:val="32"/>
          <w:szCs w:val="32"/>
        </w:rPr>
      </w:pPr>
      <w:r>
        <w:rPr>
          <w:rFonts w:hint="eastAsia" w:ascii="Times New Roman" w:hAnsi="Times New Roman" w:eastAsia="楷体_GB2312" w:cs="Times New Roman"/>
          <w:color w:val="auto"/>
          <w:kern w:val="0"/>
          <w:sz w:val="32"/>
          <w:lang w:eastAsia="zh-CN"/>
        </w:rPr>
        <w:t>（</w:t>
      </w:r>
      <w:r>
        <w:rPr>
          <w:rFonts w:hint="default" w:ascii="Times New Roman" w:hAnsi="Times New Roman" w:eastAsia="楷体_GB2312" w:cs="Times New Roman"/>
          <w:color w:val="auto"/>
          <w:kern w:val="0"/>
          <w:sz w:val="32"/>
          <w:lang w:eastAsia="zh-CN"/>
        </w:rPr>
        <w:t>一）用人单位职业卫生。</w:t>
      </w:r>
      <w:r>
        <w:rPr>
          <w:rFonts w:hint="eastAsia" w:ascii="仿宋_GB2312" w:hAnsi="仿宋_GB2312" w:eastAsia="仿宋_GB2312" w:cs="仿宋_GB2312"/>
          <w:color w:val="auto"/>
          <w:kern w:val="0"/>
          <w:sz w:val="32"/>
          <w:szCs w:val="32"/>
        </w:rPr>
        <w:t>主要检查用人单位的职业病防治管理组织和</w:t>
      </w:r>
      <w:r>
        <w:rPr>
          <w:rFonts w:hint="eastAsia" w:ascii="仿宋_GB2312" w:hAnsi="仿宋_GB2312" w:eastAsia="仿宋_GB2312" w:cs="仿宋_GB2312"/>
          <w:color w:val="auto"/>
          <w:kern w:val="0"/>
          <w:sz w:val="32"/>
          <w:szCs w:val="32"/>
          <w:lang w:eastAsia="zh-CN"/>
        </w:rPr>
        <w:t>制度</w:t>
      </w:r>
      <w:r>
        <w:rPr>
          <w:rFonts w:hint="eastAsia" w:ascii="仿宋_GB2312" w:hAnsi="仿宋_GB2312" w:eastAsia="仿宋_GB2312" w:cs="仿宋_GB2312"/>
          <w:color w:val="auto"/>
          <w:kern w:val="0"/>
          <w:sz w:val="32"/>
          <w:szCs w:val="32"/>
        </w:rPr>
        <w:t>建立情况，职业卫生培训情况，建设项目职业病防护设施“三同时”开展情况，职业病危害项目申报情况，工作场所职业病危害因素检测、评价开展情况，警示标识设置</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职业病危害告知情况，职业病防护设施、应急救援设施和个人使用的职业病防护用品配备、使用、管理情况，劳动者职业健康监护情况，职业病病人、疑似职业病病人处置情况</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楷体_GB2312" w:cs="Times New Roman"/>
          <w:color w:val="auto"/>
          <w:kern w:val="0"/>
          <w:sz w:val="32"/>
          <w:lang w:eastAsia="zh-CN"/>
        </w:rPr>
        <w:t>（</w:t>
      </w:r>
      <w:r>
        <w:rPr>
          <w:rFonts w:hint="default" w:ascii="Times New Roman" w:hAnsi="Times New Roman" w:eastAsia="楷体_GB2312" w:cs="Times New Roman"/>
          <w:color w:val="auto"/>
          <w:kern w:val="0"/>
          <w:sz w:val="32"/>
          <w:lang w:eastAsia="zh-CN"/>
        </w:rPr>
        <w:t>二）职业卫生和放射卫生技术服务机构。</w:t>
      </w:r>
      <w:r>
        <w:rPr>
          <w:rFonts w:hint="default" w:ascii="Times New Roman" w:hAnsi="Times New Roman" w:eastAsia="仿宋_GB2312" w:cs="Times New Roman"/>
          <w:color w:val="auto"/>
          <w:kern w:val="0"/>
          <w:sz w:val="32"/>
          <w:szCs w:val="32"/>
        </w:rPr>
        <w:t>主要检查职业卫生和放射卫生技术服务机构依照法律、法规和标准规范开展职业卫生、放射卫生技术服务活动情况</w:t>
      </w:r>
      <w:r>
        <w:rPr>
          <w:rFonts w:hint="default" w:ascii="Times New Roman" w:hAnsi="Times New Roman" w:eastAsia="仿宋_GB2312" w:cs="Times New Roman"/>
          <w:color w:val="auto"/>
          <w:kern w:val="0"/>
          <w:sz w:val="32"/>
          <w:szCs w:val="32"/>
          <w:lang w:val="en" w:eastAsia="zh-CN"/>
        </w:rPr>
        <w:t>，</w:t>
      </w:r>
      <w:r>
        <w:rPr>
          <w:rFonts w:hint="default" w:ascii="Times New Roman" w:hAnsi="Times New Roman" w:eastAsia="仿宋_GB2312" w:cs="Times New Roman"/>
          <w:color w:val="auto"/>
          <w:kern w:val="0"/>
          <w:sz w:val="32"/>
          <w:szCs w:val="32"/>
          <w:highlight w:val="none"/>
          <w:lang w:val="en"/>
        </w:rPr>
        <w:t>包括</w:t>
      </w:r>
      <w:r>
        <w:rPr>
          <w:rFonts w:hint="default" w:ascii="Times New Roman" w:hAnsi="Times New Roman" w:eastAsia="仿宋_GB2312" w:cs="Times New Roman"/>
          <w:color w:val="auto"/>
          <w:kern w:val="0"/>
          <w:sz w:val="32"/>
          <w:szCs w:val="32"/>
          <w:highlight w:val="none"/>
        </w:rPr>
        <w:t>是否</w:t>
      </w:r>
      <w:r>
        <w:rPr>
          <w:rFonts w:hint="default" w:ascii="Times New Roman" w:hAnsi="Times New Roman" w:eastAsia="仿宋_GB2312" w:cs="Times New Roman"/>
          <w:color w:val="auto"/>
          <w:kern w:val="0"/>
          <w:sz w:val="32"/>
          <w:szCs w:val="32"/>
        </w:rPr>
        <w:t>取得有效资质，是否在资质认可范围内从事技术服务活动，出具的技术报告是否存在虚假或失实等情况，人员、仪器设备、场所是否符合规定的资质条件等。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2"/>
        </w:rPr>
      </w:pPr>
      <w:r>
        <w:rPr>
          <w:rFonts w:hint="eastAsia" w:eastAsia="楷体_GB2312"/>
          <w:color w:val="auto"/>
          <w:kern w:val="0"/>
          <w:sz w:val="32"/>
          <w:szCs w:val="22"/>
          <w:lang w:eastAsia="zh-CN"/>
        </w:rPr>
        <w:t>（</w:t>
      </w:r>
      <w:r>
        <w:rPr>
          <w:rFonts w:hint="default" w:ascii="Times New Roman" w:hAnsi="Times New Roman" w:eastAsia="楷体_GB2312"/>
          <w:color w:val="auto"/>
          <w:kern w:val="0"/>
          <w:sz w:val="32"/>
          <w:szCs w:val="22"/>
        </w:rPr>
        <w:t>三）放射诊疗机构。</w:t>
      </w:r>
      <w:r>
        <w:rPr>
          <w:rFonts w:hint="eastAsia" w:ascii="仿宋_GB2312" w:hAnsi="仿宋_GB2312" w:eastAsia="仿宋_GB2312" w:cs="仿宋_GB2312"/>
          <w:color w:val="auto"/>
          <w:sz w:val="32"/>
          <w:szCs w:val="22"/>
        </w:rPr>
        <w:t>检查放射诊疗机构建设项目管理情况，放射诊疗场所管理及其防护措施</w:t>
      </w:r>
      <w:r>
        <w:rPr>
          <w:rFonts w:hint="eastAsia" w:ascii="仿宋_GB2312" w:hAnsi="仿宋_GB2312" w:eastAsia="仿宋_GB2312" w:cs="仿宋_GB2312"/>
          <w:color w:val="auto"/>
          <w:sz w:val="32"/>
          <w:szCs w:val="22"/>
          <w:lang w:eastAsia="zh-CN"/>
        </w:rPr>
        <w:t>落实</w:t>
      </w:r>
      <w:r>
        <w:rPr>
          <w:rFonts w:hint="eastAsia" w:ascii="仿宋_GB2312" w:hAnsi="仿宋_GB2312" w:eastAsia="仿宋_GB2312" w:cs="仿宋_GB2312"/>
          <w:color w:val="auto"/>
          <w:sz w:val="32"/>
          <w:szCs w:val="22"/>
        </w:rPr>
        <w:t>情况，放射诊疗设备管理情况，放射工作人员管理情况，开展放射诊疗人员条件管理情况，对患者、受检者及其他非放射工作人员的</w:t>
      </w:r>
      <w:r>
        <w:rPr>
          <w:rFonts w:hint="eastAsia" w:ascii="仿宋_GB2312" w:hAnsi="仿宋_GB2312" w:eastAsia="仿宋_GB2312" w:cs="仿宋_GB2312"/>
          <w:color w:val="auto"/>
          <w:sz w:val="32"/>
          <w:szCs w:val="22"/>
          <w:lang w:eastAsia="zh-CN"/>
        </w:rPr>
        <w:t>防</w:t>
      </w:r>
      <w:r>
        <w:rPr>
          <w:rFonts w:hint="eastAsia" w:ascii="仿宋_GB2312" w:hAnsi="仿宋_GB2312" w:eastAsia="仿宋_GB2312" w:cs="仿宋_GB2312"/>
          <w:color w:val="auto"/>
          <w:sz w:val="32"/>
          <w:szCs w:val="22"/>
        </w:rPr>
        <w:t>护情况，放射事件预防处置情况，职业病人</w:t>
      </w:r>
      <w:r>
        <w:rPr>
          <w:rFonts w:hint="eastAsia" w:ascii="仿宋_GB2312" w:hAnsi="仿宋_GB2312" w:eastAsia="仿宋_GB2312" w:cs="仿宋_GB2312"/>
          <w:color w:val="auto"/>
          <w:sz w:val="32"/>
          <w:szCs w:val="22"/>
          <w:lang w:eastAsia="zh-CN"/>
        </w:rPr>
        <w:t>处置</w:t>
      </w:r>
      <w:r>
        <w:rPr>
          <w:rFonts w:hint="eastAsia" w:ascii="仿宋_GB2312" w:hAnsi="仿宋_GB2312" w:eastAsia="仿宋_GB2312" w:cs="仿宋_GB2312"/>
          <w:color w:val="auto"/>
          <w:sz w:val="32"/>
          <w:szCs w:val="22"/>
        </w:rPr>
        <w:t>情况，档案管理与体系建设情况，X射线诊断管理情况，介入放射诊疗管理情况，核医学诊疗管理情况，放射治疗管理情况等。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22"/>
        </w:rPr>
      </w:pPr>
      <w:r>
        <w:rPr>
          <w:rFonts w:hint="eastAsia" w:eastAsia="楷体_GB2312"/>
          <w:color w:val="auto"/>
          <w:kern w:val="0"/>
          <w:sz w:val="32"/>
          <w:szCs w:val="22"/>
          <w:lang w:eastAsia="zh-CN"/>
        </w:rPr>
        <w:t>（</w:t>
      </w:r>
      <w:r>
        <w:rPr>
          <w:rFonts w:hint="default" w:ascii="Times New Roman" w:hAnsi="Times New Roman" w:eastAsia="楷体_GB2312"/>
          <w:color w:val="auto"/>
          <w:kern w:val="0"/>
          <w:sz w:val="32"/>
          <w:szCs w:val="22"/>
        </w:rPr>
        <w:t>四）职业健康检查、职业病诊断机构。</w:t>
      </w:r>
      <w:r>
        <w:rPr>
          <w:rFonts w:hint="default" w:ascii="Times New Roman" w:hAnsi="Times New Roman" w:eastAsia="仿宋_GB2312" w:cs="Times New Roman"/>
          <w:color w:val="auto"/>
          <w:kern w:val="0"/>
          <w:sz w:val="32"/>
          <w:szCs w:val="32"/>
        </w:rPr>
        <w:t>检查</w:t>
      </w:r>
      <w:r>
        <w:rPr>
          <w:rFonts w:hint="default" w:ascii="Times New Roman" w:hAnsi="Times New Roman" w:eastAsia="仿宋_GB2312"/>
          <w:color w:val="auto"/>
          <w:sz w:val="32"/>
          <w:szCs w:val="22"/>
        </w:rPr>
        <w:t>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w:t>
      </w:r>
      <w:r>
        <w:rPr>
          <w:rFonts w:hint="default" w:ascii="Times New Roman" w:hAnsi="Times New Roman" w:eastAsia="仿宋_GB2312"/>
          <w:color w:val="auto"/>
          <w:sz w:val="32"/>
          <w:szCs w:val="22"/>
          <w:lang w:eastAsia="zh-CN"/>
        </w:rPr>
        <w:t>是否</w:t>
      </w:r>
      <w:r>
        <w:rPr>
          <w:rFonts w:hint="default" w:ascii="Times New Roman" w:hAnsi="Times New Roman" w:eastAsia="仿宋_GB2312"/>
          <w:color w:val="auto"/>
          <w:sz w:val="32"/>
          <w:szCs w:val="22"/>
        </w:rPr>
        <w:t>按要求整改；是否出具虚假证明文件，档案管理是否符合相关要求，管理制度是否符合相关要求，劳动者保护是否符合相关要求，职业健康检查结果、职业禁忌、疑似职业病、职业病的告知、通知、信息报告是否符合相关要求等</w:t>
      </w:r>
      <w:r>
        <w:rPr>
          <w:rFonts w:hint="default" w:ascii="Times New Roman" w:hAnsi="Times New Roman" w:eastAsia="仿宋_GB2312"/>
          <w:color w:val="auto"/>
          <w:kern w:val="0"/>
          <w:sz w:val="32"/>
          <w:szCs w:val="22"/>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工作要求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bCs/>
          <w:color w:val="auto"/>
          <w:sz w:val="32"/>
          <w:szCs w:val="22"/>
        </w:rPr>
      </w:pPr>
      <w:r>
        <w:rPr>
          <w:rFonts w:hint="eastAsia" w:eastAsia="仿宋_GB2312"/>
          <w:color w:val="auto"/>
          <w:sz w:val="32"/>
          <w:szCs w:val="22"/>
          <w:lang w:eastAsia="zh-CN"/>
        </w:rPr>
        <w:t>（</w:t>
      </w:r>
      <w:r>
        <w:rPr>
          <w:rFonts w:hint="default" w:ascii="Times New Roman" w:hAnsi="Times New Roman" w:eastAsia="仿宋_GB2312"/>
          <w:color w:val="auto"/>
          <w:sz w:val="32"/>
          <w:szCs w:val="22"/>
        </w:rPr>
        <w:t>一）各地</w:t>
      </w:r>
      <w:r>
        <w:rPr>
          <w:rFonts w:hint="eastAsia" w:eastAsia="仿宋_GB2312"/>
          <w:color w:val="auto"/>
          <w:sz w:val="32"/>
          <w:szCs w:val="22"/>
          <w:lang w:eastAsia="zh-CN"/>
        </w:rPr>
        <w:t>有关部门</w:t>
      </w:r>
      <w:r>
        <w:rPr>
          <w:rFonts w:hint="default" w:ascii="Times New Roman" w:hAnsi="Times New Roman" w:eastAsia="仿宋_GB2312"/>
          <w:color w:val="auto"/>
          <w:sz w:val="32"/>
          <w:szCs w:val="22"/>
        </w:rPr>
        <w:t>根据本</w:t>
      </w:r>
      <w:r>
        <w:rPr>
          <w:rFonts w:hint="eastAsia" w:eastAsia="仿宋_GB2312"/>
          <w:color w:val="auto"/>
          <w:sz w:val="32"/>
          <w:szCs w:val="22"/>
          <w:lang w:val="en-US" w:eastAsia="zh-CN"/>
        </w:rPr>
        <w:t>市</w:t>
      </w:r>
      <w:r>
        <w:rPr>
          <w:rFonts w:hint="default" w:ascii="Times New Roman" w:hAnsi="Times New Roman" w:eastAsia="仿宋_GB2312"/>
          <w:color w:val="auto"/>
          <w:sz w:val="32"/>
          <w:szCs w:val="22"/>
        </w:rPr>
        <w:t>职业病防治重点行业、重点地区、重点职业病实际情况及职业病危害综合风险评估结果确定用人单位职业卫生、放射卫生随机抽查对象。依据</w:t>
      </w:r>
      <w:r>
        <w:rPr>
          <w:rFonts w:hint="default" w:ascii="Times New Roman" w:hAnsi="Times New Roman" w:eastAsia="仿宋_GB2312"/>
          <w:color w:val="auto"/>
          <w:sz w:val="32"/>
          <w:szCs w:val="22"/>
          <w:lang w:val="en"/>
        </w:rPr>
        <w:t>2019年以来监督检查数据和</w:t>
      </w:r>
      <w:r>
        <w:rPr>
          <w:rFonts w:hint="default" w:ascii="Times New Roman" w:hAnsi="Times New Roman" w:eastAsia="仿宋_GB2312"/>
          <w:color w:val="auto"/>
          <w:sz w:val="32"/>
          <w:szCs w:val="22"/>
        </w:rPr>
        <w:t>职业病危害项目申报系统库数据</w:t>
      </w:r>
      <w:r>
        <w:rPr>
          <w:rFonts w:hint="default" w:ascii="Times New Roman" w:hAnsi="Times New Roman" w:eastAsia="仿宋_GB2312"/>
          <w:color w:val="auto"/>
          <w:sz w:val="32"/>
          <w:szCs w:val="22"/>
          <w:lang w:eastAsia="zh-CN"/>
        </w:rPr>
        <w:t>为</w:t>
      </w:r>
      <w:r>
        <w:rPr>
          <w:rFonts w:hint="default" w:ascii="Times New Roman" w:hAnsi="Times New Roman" w:eastAsia="仿宋_GB2312"/>
          <w:color w:val="auto"/>
          <w:sz w:val="32"/>
          <w:szCs w:val="22"/>
        </w:rPr>
        <w:t>随机抽查</w:t>
      </w:r>
      <w:r>
        <w:rPr>
          <w:rFonts w:hint="default" w:ascii="Times New Roman" w:hAnsi="Times New Roman" w:eastAsia="仿宋_GB2312"/>
          <w:color w:val="auto"/>
          <w:sz w:val="32"/>
          <w:szCs w:val="22"/>
          <w:lang w:eastAsia="zh-CN"/>
        </w:rPr>
        <w:t>底数</w:t>
      </w:r>
      <w:r>
        <w:rPr>
          <w:rFonts w:hint="eastAsia" w:eastAsia="仿宋_GB2312"/>
          <w:color w:val="auto"/>
          <w:sz w:val="32"/>
          <w:szCs w:val="22"/>
          <w:lang w:eastAsia="zh-CN"/>
        </w:rPr>
        <w:t>。</w:t>
      </w:r>
      <w:r>
        <w:rPr>
          <w:rFonts w:hint="default" w:ascii="Times New Roman" w:hAnsi="Times New Roman" w:eastAsia="仿宋_GB2312"/>
          <w:color w:val="auto"/>
          <w:sz w:val="32"/>
          <w:szCs w:val="22"/>
        </w:rPr>
        <w:t>抽取原则：</w:t>
      </w:r>
      <w:r>
        <w:rPr>
          <w:rFonts w:hint="eastAsia" w:eastAsia="仿宋_GB2312"/>
          <w:color w:val="auto"/>
          <w:sz w:val="32"/>
          <w:szCs w:val="22"/>
          <w:lang w:val="en-US" w:eastAsia="zh-CN"/>
        </w:rPr>
        <w:t>根据用人单位职业病危害综合风险评估结果实施差异化比例抽查，</w:t>
      </w:r>
      <w:r>
        <w:rPr>
          <w:rFonts w:hint="eastAsia" w:ascii="Times New Roman" w:hAnsi="Times New Roman" w:eastAsia="仿宋_GB2312" w:cs="Times New Roman"/>
          <w:bCs w:val="0"/>
          <w:color w:val="auto"/>
          <w:sz w:val="32"/>
          <w:szCs w:val="22"/>
          <w:lang w:val="en-US" w:eastAsia="zh-CN"/>
        </w:rPr>
        <w:t>每地市抽取任务上限1000家。其中丙类（高风险）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抽查比例为70%，乙类（中风险）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抽查比例为15%，甲类（低风险）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抽查比例为3%，未分类</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抽查比例为5%。</w:t>
      </w:r>
      <w:r>
        <w:rPr>
          <w:rFonts w:hint="default" w:ascii="Times New Roman" w:hAnsi="Times New Roman" w:eastAsia="仿宋_GB2312"/>
          <w:color w:val="auto"/>
          <w:sz w:val="32"/>
          <w:szCs w:val="22"/>
          <w:lang w:val="en-US" w:eastAsia="zh-CN"/>
        </w:rPr>
        <w:t>各市在确定抽查名单时，</w:t>
      </w:r>
      <w:r>
        <w:rPr>
          <w:rFonts w:hint="default" w:ascii="Times New Roman" w:hAnsi="Times New Roman" w:eastAsia="仿宋_GB2312"/>
          <w:color w:val="auto"/>
          <w:sz w:val="32"/>
          <w:szCs w:val="22"/>
          <w:lang w:eastAsia="zh-CN"/>
        </w:rPr>
        <w:t>要适当增加</w:t>
      </w:r>
      <w:r>
        <w:rPr>
          <w:rFonts w:hint="default" w:ascii="Times New Roman" w:hAnsi="Times New Roman" w:eastAsia="仿宋_GB2312"/>
          <w:color w:val="auto"/>
          <w:sz w:val="32"/>
          <w:szCs w:val="22"/>
        </w:rPr>
        <w:t>工业放射应用单位抽取</w:t>
      </w:r>
      <w:r>
        <w:rPr>
          <w:rFonts w:hint="default" w:ascii="Times New Roman" w:hAnsi="Times New Roman" w:eastAsia="仿宋_GB2312"/>
          <w:color w:val="auto"/>
          <w:sz w:val="32"/>
          <w:szCs w:val="22"/>
          <w:lang w:eastAsia="zh-CN"/>
        </w:rPr>
        <w:t>占比</w:t>
      </w:r>
      <w:r>
        <w:rPr>
          <w:rFonts w:hint="eastAsia" w:eastAsia="仿宋_GB2312"/>
          <w:color w:val="auto"/>
          <w:sz w:val="32"/>
          <w:szCs w:val="22"/>
          <w:lang w:eastAsia="zh-CN"/>
        </w:rPr>
        <w:t>。</w:t>
      </w:r>
      <w:r>
        <w:rPr>
          <w:rFonts w:hint="default" w:ascii="Times New Roman" w:hAnsi="Times New Roman" w:eastAsia="仿宋_GB2312"/>
          <w:color w:val="auto"/>
          <w:sz w:val="32"/>
          <w:szCs w:val="22"/>
        </w:rPr>
        <w:t>辖区内放射诊疗机构抽查比例为20%</w:t>
      </w:r>
      <w:r>
        <w:rPr>
          <w:rFonts w:hint="eastAsia" w:eastAsia="仿宋_GB2312"/>
          <w:color w:val="auto"/>
          <w:sz w:val="32"/>
          <w:szCs w:val="22"/>
          <w:lang w:eastAsia="zh-CN"/>
        </w:rPr>
        <w:t>；</w:t>
      </w:r>
      <w:r>
        <w:rPr>
          <w:rFonts w:hint="default" w:ascii="Times New Roman" w:hAnsi="Times New Roman" w:eastAsia="仿宋_GB2312"/>
          <w:color w:val="auto"/>
          <w:sz w:val="32"/>
          <w:szCs w:val="22"/>
        </w:rPr>
        <w:t>辖区内</w:t>
      </w:r>
      <w:r>
        <w:rPr>
          <w:rFonts w:hint="default" w:ascii="Times New Roman" w:hAnsi="Times New Roman" w:eastAsia="仿宋_GB2312"/>
          <w:color w:val="auto"/>
          <w:sz w:val="32"/>
          <w:szCs w:val="22"/>
          <w:lang w:eastAsia="zh-CN"/>
        </w:rPr>
        <w:t>认可</w:t>
      </w:r>
      <w:r>
        <w:rPr>
          <w:rFonts w:hint="default" w:ascii="Times New Roman" w:hAnsi="Times New Roman" w:eastAsia="仿宋_GB2312"/>
          <w:color w:val="auto"/>
          <w:sz w:val="32"/>
          <w:szCs w:val="22"/>
        </w:rPr>
        <w:t>的职业卫生、放射卫生技术服务机构</w:t>
      </w:r>
      <w:r>
        <w:rPr>
          <w:rFonts w:hint="default" w:ascii="Times New Roman" w:hAnsi="Times New Roman" w:eastAsia="仿宋_GB2312"/>
          <w:color w:val="auto"/>
          <w:sz w:val="32"/>
          <w:szCs w:val="22"/>
          <w:lang w:val="en-US" w:eastAsia="zh-CN"/>
        </w:rPr>
        <w:t>、</w:t>
      </w:r>
      <w:r>
        <w:rPr>
          <w:rFonts w:hint="eastAsia" w:eastAsia="仿宋_GB2312"/>
          <w:color w:val="auto"/>
          <w:sz w:val="32"/>
          <w:szCs w:val="22"/>
          <w:lang w:val="en-US" w:eastAsia="zh-CN"/>
        </w:rPr>
        <w:t>备案</w:t>
      </w:r>
      <w:r>
        <w:rPr>
          <w:rFonts w:hint="default" w:ascii="Times New Roman" w:hAnsi="Times New Roman" w:eastAsia="仿宋_GB2312"/>
          <w:color w:val="auto"/>
          <w:sz w:val="32"/>
          <w:szCs w:val="22"/>
          <w:lang w:val="en-US" w:eastAsia="zh-CN"/>
        </w:rPr>
        <w:t>的</w:t>
      </w:r>
      <w:r>
        <w:rPr>
          <w:rFonts w:hint="default" w:ascii="Times New Roman" w:hAnsi="Times New Roman" w:eastAsia="仿宋_GB2312"/>
          <w:color w:val="auto"/>
          <w:sz w:val="32"/>
          <w:szCs w:val="22"/>
        </w:rPr>
        <w:t>职业健康检查机构、职业病诊断机构随机抽查比例为</w:t>
      </w:r>
      <w:r>
        <w:rPr>
          <w:rFonts w:hint="default" w:ascii="Times New Roman" w:hAnsi="Times New Roman" w:eastAsia="仿宋_GB2312"/>
          <w:color w:val="auto"/>
          <w:sz w:val="32"/>
          <w:szCs w:val="22"/>
          <w:lang w:val="en-US" w:eastAsia="zh-CN"/>
        </w:rPr>
        <w:t>6</w:t>
      </w:r>
      <w:r>
        <w:rPr>
          <w:rFonts w:hint="default" w:ascii="Times New Roman" w:hAnsi="Times New Roman" w:eastAsia="仿宋_GB2312"/>
          <w:color w:val="auto"/>
          <w:sz w:val="32"/>
          <w:szCs w:val="22"/>
        </w:rPr>
        <w:t>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22"/>
        </w:rPr>
      </w:pPr>
      <w:r>
        <w:rPr>
          <w:rFonts w:hint="eastAsia" w:eastAsia="仿宋_GB2312" w:cs="Times New Roman"/>
          <w:color w:val="auto"/>
          <w:sz w:val="32"/>
          <w:szCs w:val="22"/>
          <w:lang w:eastAsia="zh-CN"/>
        </w:rPr>
        <w:t>（</w:t>
      </w:r>
      <w:r>
        <w:rPr>
          <w:rFonts w:hint="default" w:ascii="Times New Roman" w:hAnsi="Times New Roman" w:eastAsia="仿宋_GB2312" w:cs="Times New Roman"/>
          <w:color w:val="auto"/>
          <w:sz w:val="32"/>
          <w:szCs w:val="22"/>
        </w:rPr>
        <w:t>二）</w:t>
      </w:r>
      <w:r>
        <w:rPr>
          <w:rFonts w:hint="eastAsia" w:eastAsia="仿宋_GB2312" w:cs="Times New Roman"/>
          <w:color w:val="auto"/>
          <w:sz w:val="32"/>
          <w:szCs w:val="22"/>
          <w:lang w:val="en-US" w:eastAsia="zh-CN"/>
        </w:rPr>
        <w:t>各地</w:t>
      </w:r>
      <w:r>
        <w:rPr>
          <w:rFonts w:hint="default" w:ascii="Times New Roman" w:hAnsi="Times New Roman" w:eastAsia="仿宋_GB2312" w:cs="Times New Roman"/>
          <w:color w:val="auto"/>
          <w:sz w:val="32"/>
          <w:szCs w:val="22"/>
        </w:rPr>
        <w:t>疾控</w:t>
      </w:r>
      <w:r>
        <w:rPr>
          <w:rFonts w:hint="eastAsia" w:eastAsia="仿宋_GB2312" w:cs="Times New Roman"/>
          <w:color w:val="auto"/>
          <w:sz w:val="32"/>
          <w:szCs w:val="22"/>
          <w:lang w:val="en-US" w:eastAsia="zh-CN"/>
        </w:rPr>
        <w:t>局</w:t>
      </w:r>
      <w:r>
        <w:rPr>
          <w:rFonts w:hint="default" w:ascii="Times New Roman" w:hAnsi="Times New Roman" w:eastAsia="仿宋_GB2312" w:cs="Times New Roman"/>
          <w:color w:val="auto"/>
          <w:sz w:val="32"/>
          <w:szCs w:val="22"/>
        </w:rPr>
        <w:t>应统筹安排好监督检查工作，</w:t>
      </w:r>
      <w:r>
        <w:rPr>
          <w:rFonts w:hint="default" w:ascii="Times New Roman" w:hAnsi="Times New Roman" w:eastAsia="仿宋_GB2312" w:cs="Times New Roman"/>
          <w:color w:val="auto"/>
          <w:sz w:val="32"/>
          <w:szCs w:val="22"/>
          <w:lang w:eastAsia="zh-CN"/>
        </w:rPr>
        <w:t>严格贯彻落实《国务院办公厅关于严格规范涉企行政检查的意见》的各项要求；</w:t>
      </w:r>
      <w:r>
        <w:rPr>
          <w:rFonts w:hint="default" w:ascii="Times New Roman" w:hAnsi="Times New Roman" w:eastAsia="仿宋_GB2312" w:cs="Times New Roman"/>
          <w:color w:val="auto"/>
          <w:sz w:val="32"/>
          <w:szCs w:val="22"/>
        </w:rPr>
        <w:t>创新涉企监督检查方式，大力推进精准检查，推广“监督+服务”和智慧化监管模式，</w:t>
      </w:r>
      <w:r>
        <w:rPr>
          <w:rFonts w:hint="default" w:ascii="Times New Roman" w:hAnsi="Times New Roman" w:eastAsia="仿宋_GB2312" w:cs="Times New Roman"/>
          <w:color w:val="auto"/>
          <w:sz w:val="32"/>
          <w:szCs w:val="22"/>
          <w:lang w:val="en-US" w:eastAsia="zh-CN"/>
        </w:rPr>
        <w:t>能采取</w:t>
      </w:r>
      <w:r>
        <w:rPr>
          <w:rFonts w:hint="default" w:ascii="Times New Roman" w:hAnsi="Times New Roman" w:eastAsia="仿宋_GB2312" w:cs="Times New Roman"/>
          <w:color w:val="auto"/>
          <w:sz w:val="32"/>
          <w:szCs w:val="22"/>
        </w:rPr>
        <w:t>书面核查、信息共享、智慧监管等非现场</w:t>
      </w:r>
      <w:r>
        <w:rPr>
          <w:rFonts w:hint="default" w:ascii="Times New Roman" w:hAnsi="Times New Roman" w:eastAsia="仿宋_GB2312" w:cs="Times New Roman"/>
          <w:color w:val="auto"/>
          <w:sz w:val="32"/>
          <w:szCs w:val="22"/>
          <w:lang w:val="en-US" w:eastAsia="zh-CN"/>
        </w:rPr>
        <w:t>执法</w:t>
      </w:r>
      <w:r>
        <w:rPr>
          <w:rFonts w:hint="default" w:ascii="Times New Roman" w:hAnsi="Times New Roman" w:eastAsia="仿宋_GB2312" w:cs="Times New Roman"/>
          <w:color w:val="auto"/>
          <w:sz w:val="32"/>
          <w:szCs w:val="22"/>
        </w:rPr>
        <w:t>检查方式</w:t>
      </w:r>
      <w:r>
        <w:rPr>
          <w:rFonts w:hint="default" w:ascii="Times New Roman" w:hAnsi="Times New Roman" w:eastAsia="仿宋_GB2312" w:cs="Times New Roman"/>
          <w:color w:val="auto"/>
          <w:sz w:val="32"/>
          <w:szCs w:val="22"/>
          <w:lang w:val="en-US" w:eastAsia="zh-CN"/>
        </w:rPr>
        <w:t>的，可不进行</w:t>
      </w:r>
      <w:r>
        <w:rPr>
          <w:rFonts w:hint="default" w:ascii="Times New Roman" w:hAnsi="Times New Roman" w:eastAsia="仿宋_GB2312" w:cs="Times New Roman"/>
          <w:color w:val="auto"/>
          <w:sz w:val="32"/>
          <w:szCs w:val="22"/>
        </w:rPr>
        <w:t>现场监督检查</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有机贯通“综合查一次”“双随机、一公开”抽查</w:t>
      </w:r>
      <w:r>
        <w:rPr>
          <w:rFonts w:hint="default" w:ascii="Times New Roman" w:hAnsi="Times New Roman" w:eastAsia="仿宋_GB2312" w:cs="Times New Roman"/>
          <w:color w:val="auto"/>
          <w:sz w:val="32"/>
          <w:szCs w:val="22"/>
          <w:lang w:val="en-US" w:eastAsia="zh-CN"/>
        </w:rPr>
        <w:t>等</w:t>
      </w:r>
      <w:r>
        <w:rPr>
          <w:rFonts w:hint="default" w:ascii="Times New Roman" w:hAnsi="Times New Roman" w:eastAsia="仿宋_GB2312" w:cs="Times New Roman"/>
          <w:color w:val="auto"/>
          <w:sz w:val="32"/>
          <w:szCs w:val="22"/>
        </w:rPr>
        <w:t>各类监督检查方式，避免对同一单位因同一事项重复检查。</w:t>
      </w:r>
      <w:r>
        <w:rPr>
          <w:rFonts w:hint="default" w:ascii="Times New Roman" w:hAnsi="Times New Roman" w:eastAsia="仿宋_GB2312" w:cs="Times New Roman"/>
          <w:color w:val="auto"/>
          <w:sz w:val="32"/>
          <w:szCs w:val="22"/>
          <w:lang w:val="en-US" w:eastAsia="zh-CN"/>
        </w:rPr>
        <w:t>在对用人单位监督检查过程中，对有关职业卫生、放射卫生技术服务机构提供的技术服务和职业健康检查机构提供职业健康检查情况进行延伸检查。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rPr>
      </w:pPr>
      <w:r>
        <w:rPr>
          <w:rFonts w:hint="eastAsia" w:eastAsia="仿宋_GB2312"/>
          <w:color w:val="auto"/>
          <w:sz w:val="32"/>
          <w:szCs w:val="22"/>
          <w:lang w:eastAsia="zh-CN"/>
        </w:rPr>
        <w:t>（</w:t>
      </w:r>
      <w:r>
        <w:rPr>
          <w:rFonts w:hint="default" w:ascii="Times New Roman" w:hAnsi="Times New Roman" w:eastAsia="仿宋_GB2312"/>
          <w:color w:val="auto"/>
          <w:sz w:val="32"/>
          <w:szCs w:val="22"/>
        </w:rPr>
        <w:t>三）各</w:t>
      </w:r>
      <w:r>
        <w:rPr>
          <w:rFonts w:hint="eastAsia" w:eastAsia="仿宋_GB2312"/>
          <w:color w:val="auto"/>
          <w:sz w:val="32"/>
          <w:szCs w:val="22"/>
          <w:lang w:val="en-US" w:eastAsia="zh-CN"/>
        </w:rPr>
        <w:t>地</w:t>
      </w:r>
      <w:r>
        <w:rPr>
          <w:rFonts w:hint="default" w:ascii="Times New Roman" w:hAnsi="Times New Roman" w:eastAsia="仿宋_GB2312"/>
          <w:color w:val="auto"/>
          <w:sz w:val="32"/>
          <w:szCs w:val="22"/>
        </w:rPr>
        <w:t>疾控局请于2025年</w:t>
      </w:r>
      <w:r>
        <w:rPr>
          <w:rFonts w:hint="eastAsia" w:eastAsia="仿宋_GB2312"/>
          <w:color w:val="auto"/>
          <w:sz w:val="32"/>
          <w:szCs w:val="22"/>
          <w:lang w:val="en-US" w:eastAsia="zh-CN"/>
        </w:rPr>
        <w:t>5</w:t>
      </w:r>
      <w:r>
        <w:rPr>
          <w:rFonts w:hint="default" w:ascii="Times New Roman" w:hAnsi="Times New Roman" w:eastAsia="仿宋_GB2312"/>
          <w:color w:val="auto"/>
          <w:sz w:val="32"/>
          <w:szCs w:val="22"/>
        </w:rPr>
        <w:t>月</w:t>
      </w:r>
      <w:r>
        <w:rPr>
          <w:rFonts w:hint="eastAsia" w:eastAsia="仿宋_GB2312"/>
          <w:color w:val="auto"/>
          <w:sz w:val="32"/>
          <w:szCs w:val="22"/>
          <w:lang w:val="en-US" w:eastAsia="zh-CN"/>
        </w:rPr>
        <w:t>15日</w:t>
      </w:r>
      <w:r>
        <w:rPr>
          <w:rFonts w:hint="default" w:ascii="Times New Roman" w:hAnsi="Times New Roman" w:eastAsia="仿宋_GB2312"/>
          <w:color w:val="auto"/>
          <w:sz w:val="32"/>
          <w:szCs w:val="22"/>
        </w:rPr>
        <w:t>前将辖区年度职业卫生</w:t>
      </w:r>
      <w:r>
        <w:rPr>
          <w:rFonts w:hint="default" w:ascii="Times New Roman" w:hAnsi="Times New Roman" w:eastAsia="仿宋_GB2312"/>
          <w:color w:val="auto"/>
          <w:sz w:val="32"/>
          <w:szCs w:val="22"/>
          <w:lang w:eastAsia="zh-CN"/>
        </w:rPr>
        <w:t>和</w:t>
      </w:r>
      <w:r>
        <w:rPr>
          <w:rFonts w:hint="default" w:ascii="Times New Roman" w:hAnsi="Times New Roman" w:eastAsia="仿宋_GB2312"/>
          <w:color w:val="auto"/>
          <w:sz w:val="32"/>
          <w:szCs w:val="22"/>
        </w:rPr>
        <w:t>放射卫生随机监督抽查任务清单</w:t>
      </w:r>
      <w:r>
        <w:rPr>
          <w:rFonts w:hint="eastAsia" w:eastAsia="仿宋_GB2312"/>
          <w:color w:val="auto"/>
          <w:sz w:val="32"/>
          <w:szCs w:val="22"/>
          <w:lang w:eastAsia="zh-CN"/>
        </w:rPr>
        <w:t>（</w:t>
      </w:r>
      <w:r>
        <w:rPr>
          <w:rFonts w:hint="default" w:ascii="Times New Roman" w:hAnsi="Times New Roman" w:eastAsia="仿宋_GB2312"/>
          <w:color w:val="auto"/>
          <w:sz w:val="32"/>
          <w:szCs w:val="22"/>
        </w:rPr>
        <w:t>附</w:t>
      </w:r>
      <w:r>
        <w:rPr>
          <w:rFonts w:hint="default" w:ascii="Times New Roman" w:hAnsi="Times New Roman" w:eastAsia="仿宋_GB2312"/>
          <w:color w:val="auto"/>
          <w:sz w:val="32"/>
          <w:szCs w:val="22"/>
          <w:lang w:eastAsia="zh-CN"/>
        </w:rPr>
        <w:t>表</w:t>
      </w:r>
      <w:r>
        <w:rPr>
          <w:rFonts w:hint="eastAsia" w:eastAsia="仿宋_GB2312"/>
          <w:color w:val="auto"/>
          <w:sz w:val="32"/>
          <w:szCs w:val="22"/>
          <w:lang w:val="en-US" w:eastAsia="zh-CN"/>
        </w:rPr>
        <w:t>10</w:t>
      </w:r>
      <w:r>
        <w:rPr>
          <w:rFonts w:hint="default" w:ascii="Times New Roman" w:hAnsi="Times New Roman" w:eastAsia="仿宋_GB2312"/>
          <w:color w:val="auto"/>
          <w:sz w:val="32"/>
          <w:szCs w:val="22"/>
          <w:lang w:eastAsia="zh-CN"/>
        </w:rPr>
        <w:t>）</w:t>
      </w:r>
      <w:r>
        <w:rPr>
          <w:rFonts w:hint="default" w:ascii="Times New Roman" w:hAnsi="Times New Roman" w:eastAsia="仿宋_GB2312"/>
          <w:color w:val="auto"/>
          <w:sz w:val="32"/>
          <w:szCs w:val="22"/>
        </w:rPr>
        <w:t>报送</w:t>
      </w:r>
      <w:r>
        <w:rPr>
          <w:rFonts w:hint="eastAsia" w:eastAsia="仿宋_GB2312"/>
          <w:color w:val="auto"/>
          <w:sz w:val="32"/>
          <w:szCs w:val="22"/>
          <w:lang w:val="en-US" w:eastAsia="zh-CN"/>
        </w:rPr>
        <w:t>省</w:t>
      </w:r>
      <w:r>
        <w:rPr>
          <w:rFonts w:hint="default" w:ascii="Times New Roman" w:hAnsi="Times New Roman" w:eastAsia="仿宋_GB2312"/>
          <w:color w:val="auto"/>
          <w:sz w:val="32"/>
          <w:szCs w:val="22"/>
        </w:rPr>
        <w:t>疾控局</w:t>
      </w:r>
      <w:r>
        <w:rPr>
          <w:rFonts w:hint="default" w:ascii="Times New Roman" w:hAnsi="Times New Roman" w:eastAsia="仿宋_GB2312"/>
          <w:color w:val="auto"/>
          <w:sz w:val="32"/>
          <w:szCs w:val="22"/>
          <w:lang w:eastAsia="zh-CN"/>
        </w:rPr>
        <w:t>综合监督二</w:t>
      </w:r>
      <w:r>
        <w:rPr>
          <w:rFonts w:hint="eastAsia" w:eastAsia="仿宋_GB2312"/>
          <w:color w:val="auto"/>
          <w:sz w:val="32"/>
          <w:szCs w:val="22"/>
          <w:lang w:val="en-US" w:eastAsia="zh-CN"/>
        </w:rPr>
        <w:t>处</w:t>
      </w:r>
      <w:r>
        <w:rPr>
          <w:rFonts w:hint="default" w:ascii="Times New Roman" w:hAnsi="Times New Roman" w:eastAsia="仿宋_GB2312"/>
          <w:color w:val="auto"/>
          <w:sz w:val="32"/>
          <w:szCs w:val="22"/>
          <w:lang w:eastAsia="zh-CN"/>
        </w:rPr>
        <w:t>。</w:t>
      </w:r>
      <w:r>
        <w:rPr>
          <w:rFonts w:hint="default" w:ascii="Times New Roman" w:hAnsi="Times New Roman" w:eastAsia="仿宋_GB2312"/>
          <w:color w:val="auto"/>
          <w:sz w:val="32"/>
          <w:szCs w:val="22"/>
        </w:rPr>
        <w:t>各</w:t>
      </w:r>
      <w:r>
        <w:rPr>
          <w:rFonts w:hint="eastAsia" w:eastAsia="仿宋_GB2312"/>
          <w:color w:val="auto"/>
          <w:sz w:val="32"/>
          <w:szCs w:val="22"/>
          <w:lang w:val="en-US" w:eastAsia="zh-CN"/>
        </w:rPr>
        <w:t>地</w:t>
      </w:r>
      <w:r>
        <w:rPr>
          <w:rFonts w:hint="default" w:ascii="Times New Roman" w:hAnsi="Times New Roman" w:eastAsia="仿宋_GB2312"/>
          <w:color w:val="auto"/>
          <w:sz w:val="32"/>
          <w:szCs w:val="22"/>
        </w:rPr>
        <w:t>疾控局</w:t>
      </w:r>
      <w:r>
        <w:rPr>
          <w:rFonts w:hint="default" w:ascii="Times New Roman" w:hAnsi="Times New Roman" w:eastAsia="仿宋_GB2312" w:cs="Times New Roman"/>
          <w:color w:val="auto"/>
          <w:sz w:val="32"/>
          <w:szCs w:val="22"/>
        </w:rPr>
        <w:t>请于202</w:t>
      </w:r>
      <w:r>
        <w:rPr>
          <w:rFonts w:hint="default" w:ascii="Times New Roman" w:hAnsi="Times New Roman" w:eastAsia="仿宋_GB2312"/>
          <w:color w:val="auto"/>
          <w:sz w:val="32"/>
          <w:szCs w:val="22"/>
        </w:rPr>
        <w:t>5</w:t>
      </w:r>
      <w:r>
        <w:rPr>
          <w:rFonts w:hint="default" w:ascii="Times New Roman" w:hAnsi="Times New Roman" w:eastAsia="仿宋_GB2312" w:cs="Times New Roman"/>
          <w:color w:val="auto"/>
          <w:kern w:val="2"/>
          <w:sz w:val="32"/>
          <w:szCs w:val="22"/>
        </w:rPr>
        <w:t>年11月</w:t>
      </w:r>
      <w:r>
        <w:rPr>
          <w:rFonts w:hint="eastAsia" w:eastAsia="仿宋_GB2312" w:cs="Times New Roman"/>
          <w:color w:val="auto"/>
          <w:kern w:val="2"/>
          <w:sz w:val="32"/>
          <w:szCs w:val="22"/>
          <w:lang w:val="en-US" w:eastAsia="zh-CN"/>
        </w:rPr>
        <w:t>2</w:t>
      </w:r>
      <w:r>
        <w:rPr>
          <w:rFonts w:hint="default" w:ascii="Times New Roman" w:hAnsi="Times New Roman" w:eastAsia="仿宋_GB2312" w:cs="Times New Roman"/>
          <w:color w:val="auto"/>
          <w:kern w:val="2"/>
          <w:sz w:val="32"/>
          <w:szCs w:val="22"/>
        </w:rPr>
        <w:t>0日前完成全部检查任务和数据填报工作</w:t>
      </w:r>
      <w:r>
        <w:rPr>
          <w:rFonts w:hint="eastAsia" w:ascii="Times New Roman" w:hAnsi="Times New Roman" w:eastAsia="仿宋_GB2312" w:cs="Times New Roman"/>
          <w:color w:val="auto"/>
          <w:kern w:val="2"/>
          <w:sz w:val="32"/>
          <w:szCs w:val="22"/>
          <w:lang w:eastAsia="zh-CN"/>
        </w:rPr>
        <w:t>，</w:t>
      </w:r>
      <w:r>
        <w:rPr>
          <w:rFonts w:hint="eastAsia" w:eastAsia="仿宋_GB2312"/>
          <w:color w:val="auto"/>
          <w:sz w:val="32"/>
          <w:szCs w:val="22"/>
          <w:lang w:val="en-US" w:eastAsia="zh-CN"/>
        </w:rPr>
        <w:t>要</w:t>
      </w:r>
      <w:r>
        <w:rPr>
          <w:rFonts w:hint="default" w:ascii="Times New Roman" w:hAnsi="Times New Roman" w:eastAsia="仿宋_GB2312"/>
          <w:color w:val="auto"/>
          <w:sz w:val="32"/>
          <w:szCs w:val="22"/>
        </w:rPr>
        <w:t>切实加强对上报数据信息的审核，按照抽查工作计划表及监督信息报告卡要求填报监督检查和案件查处数据信息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用人单位双随机任务填报指引见附表</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olor w:val="auto"/>
          <w:sz w:val="32"/>
          <w:szCs w:val="22"/>
        </w:rPr>
        <w:t>。</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lang w:val="en-US" w:eastAsia="zh-CN"/>
        </w:rPr>
        <w:t>地市</w:t>
      </w:r>
      <w:r>
        <w:rPr>
          <w:rFonts w:hint="eastAsia" w:ascii="仿宋_GB2312" w:hAnsi="仿宋_GB2312" w:eastAsia="仿宋_GB2312" w:cs="仿宋_GB2312"/>
          <w:color w:val="auto"/>
          <w:sz w:val="32"/>
          <w:szCs w:val="32"/>
          <w:u w:val="none"/>
          <w:lang w:eastAsia="zh-CN"/>
        </w:rPr>
        <w:t>疾控局</w:t>
      </w:r>
      <w:r>
        <w:rPr>
          <w:rFonts w:hint="eastAsia" w:ascii="仿宋" w:hAnsi="仿宋" w:eastAsia="仿宋" w:cs="仿宋"/>
          <w:color w:val="auto"/>
          <w:sz w:val="32"/>
          <w:u w:val="none"/>
          <w:lang w:eastAsia="zh-CN"/>
        </w:rPr>
        <w:t>请</w:t>
      </w:r>
      <w:r>
        <w:rPr>
          <w:rFonts w:hint="eastAsia" w:ascii="仿宋_GB2312" w:hAnsi="仿宋_GB2312" w:eastAsia="仿宋_GB2312" w:cs="仿宋_GB2312"/>
          <w:color w:val="auto"/>
          <w:sz w:val="32"/>
          <w:szCs w:val="24"/>
          <w:u w:val="none"/>
          <w:lang w:eastAsia="zh-CN"/>
        </w:rPr>
        <w:t>于</w:t>
      </w:r>
      <w:r>
        <w:rPr>
          <w:rFonts w:hint="default" w:ascii="Times New Roman" w:hAnsi="Times New Roman" w:eastAsia="仿宋_GB2312" w:cs="Times New Roman"/>
          <w:color w:val="auto"/>
          <w:sz w:val="32"/>
          <w:szCs w:val="24"/>
          <w:u w:val="none"/>
          <w:lang w:val="en-US" w:eastAsia="zh-CN"/>
        </w:rPr>
        <w:t>2025年6月20日</w:t>
      </w:r>
      <w:r>
        <w:rPr>
          <w:rFonts w:hint="default" w:ascii="Times New Roman" w:hAnsi="Times New Roman" w:eastAsia="仿宋_GB2312" w:cs="Times New Roman"/>
          <w:color w:val="auto"/>
          <w:sz w:val="32"/>
          <w:szCs w:val="24"/>
          <w:u w:val="none"/>
        </w:rPr>
        <w:t>前</w:t>
      </w:r>
      <w:r>
        <w:rPr>
          <w:rFonts w:hint="default" w:ascii="Times New Roman" w:hAnsi="Times New Roman" w:eastAsia="仿宋_GB2312" w:cs="Times New Roman"/>
          <w:color w:val="auto"/>
          <w:sz w:val="32"/>
          <w:szCs w:val="24"/>
          <w:u w:val="none"/>
          <w:lang w:eastAsia="zh-CN"/>
        </w:rPr>
        <w:t>、</w:t>
      </w:r>
      <w:r>
        <w:rPr>
          <w:rFonts w:hint="default"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1月</w:t>
      </w:r>
      <w:r>
        <w:rPr>
          <w:rFonts w:hint="default" w:ascii="Times New Roman" w:hAnsi="Times New Roman" w:eastAsia="仿宋_GB2312" w:cs="Times New Roman"/>
          <w:color w:val="auto"/>
          <w:sz w:val="32"/>
          <w:szCs w:val="24"/>
          <w:u w:val="none"/>
          <w:lang w:val="en-US" w:eastAsia="zh-CN"/>
        </w:rPr>
        <w:t>20</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前分别</w:t>
      </w:r>
      <w:r>
        <w:rPr>
          <w:rFonts w:hint="eastAsia" w:ascii="仿宋_GB2312" w:hAnsi="仿宋_GB2312" w:eastAsia="仿宋_GB2312" w:cs="仿宋_GB2312"/>
          <w:color w:val="auto"/>
          <w:sz w:val="32"/>
          <w:szCs w:val="24"/>
          <w:u w:val="none"/>
          <w:lang w:val="en-US" w:eastAsia="zh-CN"/>
        </w:rPr>
        <w:t>将</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工作阶段性</w:t>
      </w:r>
      <w:r>
        <w:rPr>
          <w:rFonts w:hint="eastAsia" w:ascii="仿宋_GB2312" w:hAnsi="仿宋_GB2312" w:eastAsia="仿宋_GB2312" w:cs="仿宋_GB2312"/>
          <w:color w:val="auto"/>
          <w:kern w:val="0"/>
          <w:sz w:val="32"/>
          <w:szCs w:val="32"/>
        </w:rPr>
        <w:t>总结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全年总结</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省</w:t>
      </w:r>
      <w:r>
        <w:rPr>
          <w:rFonts w:hint="eastAsia" w:ascii="仿宋_GB2312" w:hAnsi="仿宋_GB2312" w:eastAsia="仿宋_GB2312" w:cs="仿宋_GB2312"/>
          <w:color w:val="auto"/>
          <w:kern w:val="0"/>
          <w:sz w:val="32"/>
          <w:szCs w:val="32"/>
          <w:lang w:eastAsia="zh-CN"/>
        </w:rPr>
        <w:t>疾控局。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22"/>
        </w:rPr>
      </w:pPr>
      <w:r>
        <w:rPr>
          <w:rFonts w:hint="eastAsia" w:eastAsia="仿宋_GB2312"/>
          <w:color w:val="auto"/>
          <w:sz w:val="32"/>
          <w:szCs w:val="22"/>
          <w:lang w:val="en-US" w:eastAsia="zh-CN"/>
        </w:rPr>
        <w:t>用人单位职业卫生、职业卫生技术服务机构、职业健康检查机构、职业病诊断机构</w:t>
      </w:r>
      <w:r>
        <w:rPr>
          <w:rFonts w:hint="eastAsia" w:ascii="Times New Roman" w:hAnsi="Times New Roman" w:eastAsia="仿宋_GB2312"/>
          <w:color w:val="auto"/>
          <w:sz w:val="32"/>
          <w:szCs w:val="22"/>
        </w:rPr>
        <w:t>联系人：</w:t>
      </w:r>
      <w:r>
        <w:rPr>
          <w:rFonts w:hint="eastAsia" w:eastAsia="仿宋_GB2312"/>
          <w:color w:val="auto"/>
          <w:sz w:val="32"/>
          <w:szCs w:val="22"/>
          <w:lang w:val="en-US" w:eastAsia="zh-CN"/>
        </w:rPr>
        <w:t>陈振中；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lang w:val="en-US" w:eastAsia="zh-CN"/>
        </w:rPr>
      </w:pPr>
      <w:r>
        <w:rPr>
          <w:rFonts w:hint="eastAsia" w:ascii="Times New Roman" w:hAnsi="Times New Roman" w:eastAsia="仿宋_GB2312"/>
          <w:color w:val="auto"/>
          <w:sz w:val="32"/>
          <w:szCs w:val="22"/>
        </w:rPr>
        <w:t>电话：</w:t>
      </w:r>
      <w:r>
        <w:rPr>
          <w:rFonts w:hint="eastAsia" w:eastAsia="仿宋_GB2312"/>
          <w:color w:val="auto"/>
          <w:sz w:val="32"/>
          <w:szCs w:val="22"/>
          <w:lang w:val="en-US" w:eastAsia="zh-CN"/>
        </w:rPr>
        <w:t>020-31955940；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22"/>
          <w:lang w:val="en-US" w:eastAsia="zh-CN"/>
        </w:rPr>
      </w:pPr>
      <w:r>
        <w:rPr>
          <w:rFonts w:hint="eastAsia" w:ascii="Times New Roman" w:hAnsi="Times New Roman" w:eastAsia="仿宋_GB2312"/>
          <w:color w:val="auto"/>
          <w:sz w:val="32"/>
          <w:szCs w:val="22"/>
        </w:rPr>
        <w:t>邮箱：</w:t>
      </w:r>
      <w:r>
        <w:rPr>
          <w:rStyle w:val="9"/>
          <w:rFonts w:hint="default" w:ascii="Times New Roman" w:hAnsi="Times New Roman" w:eastAsia="仿宋_GB2312" w:cs="Times New Roman"/>
          <w:color w:val="auto"/>
          <w:sz w:val="32"/>
          <w:szCs w:val="32"/>
          <w:lang w:val="en-US" w:eastAsia="zh-CN"/>
        </w:rPr>
        <w:t>gdsjkj_jdec</w:t>
      </w:r>
      <w:r>
        <w:rPr>
          <w:rStyle w:val="9"/>
          <w:rFonts w:hint="eastAsia" w:eastAsia="仿宋_GB2312" w:cs="Times New Roman"/>
          <w:color w:val="auto"/>
          <w:sz w:val="32"/>
          <w:szCs w:val="32"/>
          <w:lang w:val="en-US" w:eastAsia="zh-CN"/>
        </w:rPr>
        <w:t>@</w:t>
      </w:r>
      <w:r>
        <w:rPr>
          <w:rStyle w:val="9"/>
          <w:rFonts w:ascii="Times New Roman" w:hAnsi="Times New Roman" w:eastAsia="仿宋_GB2312" w:cs="Times New Roman"/>
          <w:i w:val="0"/>
          <w:iCs w:val="0"/>
          <w:caps w:val="0"/>
          <w:color w:val="auto"/>
          <w:spacing w:val="0"/>
          <w:sz w:val="32"/>
          <w:szCs w:val="32"/>
          <w:shd w:val="clear" w:color="auto" w:fill="auto"/>
        </w:rPr>
        <w:t>gd.gov.cn</w:t>
      </w:r>
      <w:r>
        <w:rPr>
          <w:rFonts w:hint="eastAsia"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22"/>
        </w:rPr>
      </w:pPr>
      <w:r>
        <w:rPr>
          <w:rFonts w:hint="eastAsia" w:eastAsia="仿宋_GB2312"/>
          <w:color w:val="auto"/>
          <w:sz w:val="32"/>
          <w:szCs w:val="22"/>
          <w:lang w:val="en-US" w:eastAsia="zh-CN"/>
        </w:rPr>
        <w:t>放射诊疗机构、放射卫生技术服务机构</w:t>
      </w:r>
      <w:r>
        <w:rPr>
          <w:rFonts w:hint="eastAsia" w:ascii="Times New Roman" w:hAnsi="Times New Roman" w:eastAsia="仿宋_GB2312"/>
          <w:color w:val="auto"/>
          <w:sz w:val="32"/>
          <w:szCs w:val="22"/>
        </w:rPr>
        <w:t>联系人：</w:t>
      </w:r>
      <w:r>
        <w:rPr>
          <w:rFonts w:hint="eastAsia" w:eastAsia="仿宋_GB2312"/>
          <w:color w:val="auto"/>
          <w:sz w:val="32"/>
          <w:szCs w:val="22"/>
          <w:lang w:val="en-US" w:eastAsia="zh-CN"/>
        </w:rPr>
        <w:t>路松毅；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lang w:val="en-US" w:eastAsia="zh-CN"/>
        </w:rPr>
      </w:pPr>
      <w:r>
        <w:rPr>
          <w:rFonts w:hint="eastAsia" w:ascii="Times New Roman" w:hAnsi="Times New Roman" w:eastAsia="仿宋_GB2312"/>
          <w:color w:val="auto"/>
          <w:sz w:val="32"/>
          <w:szCs w:val="22"/>
        </w:rPr>
        <w:t>电话：</w:t>
      </w:r>
      <w:r>
        <w:rPr>
          <w:rFonts w:hint="eastAsia" w:eastAsia="仿宋_GB2312"/>
          <w:color w:val="auto"/>
          <w:sz w:val="32"/>
          <w:szCs w:val="22"/>
          <w:lang w:val="en-US" w:eastAsia="zh-CN"/>
        </w:rPr>
        <w:t>020-31955940；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sz w:val="32"/>
          <w:lang w:val="en-US"/>
        </w:rPr>
      </w:pPr>
      <w:r>
        <w:rPr>
          <w:rFonts w:hint="eastAsia" w:ascii="Times New Roman" w:hAnsi="Times New Roman" w:eastAsia="仿宋_GB2312"/>
          <w:color w:val="auto"/>
          <w:sz w:val="32"/>
          <w:szCs w:val="22"/>
        </w:rPr>
        <w:t>邮箱：</w:t>
      </w:r>
      <w:r>
        <w:rPr>
          <w:rStyle w:val="9"/>
          <w:rFonts w:hint="default" w:ascii="Times New Roman" w:hAnsi="Times New Roman" w:eastAsia="仿宋_GB2312" w:cs="Times New Roman"/>
          <w:color w:val="auto"/>
          <w:sz w:val="32"/>
          <w:szCs w:val="32"/>
          <w:lang w:val="en-US" w:eastAsia="zh-CN"/>
        </w:rPr>
        <w:t>gdsjkj_jdec</w:t>
      </w:r>
      <w:r>
        <w:rPr>
          <w:rStyle w:val="9"/>
          <w:rFonts w:hint="eastAsia" w:eastAsia="仿宋_GB2312" w:cs="Times New Roman"/>
          <w:color w:val="auto"/>
          <w:sz w:val="32"/>
          <w:szCs w:val="32"/>
          <w:lang w:val="en-US" w:eastAsia="zh-CN"/>
        </w:rPr>
        <w:t>@</w:t>
      </w:r>
      <w:r>
        <w:rPr>
          <w:rStyle w:val="9"/>
          <w:rFonts w:ascii="Times New Roman" w:hAnsi="Times New Roman" w:eastAsia="仿宋_GB2312" w:cs="Times New Roman"/>
          <w:i w:val="0"/>
          <w:iCs w:val="0"/>
          <w:caps w:val="0"/>
          <w:color w:val="auto"/>
          <w:spacing w:val="0"/>
          <w:sz w:val="32"/>
          <w:szCs w:val="32"/>
          <w:shd w:val="clear" w:color="auto" w:fill="auto"/>
        </w:rPr>
        <w:t>gd.gov.cn</w:t>
      </w:r>
      <w:r>
        <w:rPr>
          <w:rFonts w:hint="eastAsia" w:eastAsia="仿宋_GB2312"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561"/>
        <w:jc w:val="left"/>
        <w:textAlignment w:val="auto"/>
        <w:outlineLvl w:val="0"/>
        <w:rPr>
          <w:rFonts w:ascii="Times New Roman" w:hAnsi="Times New Roman" w:eastAsia="仿宋_GB2312" w:cs="Times New Roman"/>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kern w:val="2"/>
          <w:sz w:val="32"/>
          <w:szCs w:val="22"/>
          <w:lang w:bidi="ar"/>
        </w:rPr>
        <w:t>附表：</w:t>
      </w:r>
      <w:r>
        <w:rPr>
          <w:rFonts w:hint="eastAsia" w:ascii="Times New Roman" w:hAnsi="Times New Roman" w:eastAsia="仿宋_GB2312" w:cs="Times New Roman"/>
          <w:color w:val="auto"/>
          <w:w w:val="100"/>
          <w:kern w:val="2"/>
          <w:sz w:val="32"/>
          <w:szCs w:val="22"/>
          <w:lang w:bidi="ar"/>
        </w:rPr>
        <w:t>1.2025年用人单位职业卫生随机监督抽</w:t>
      </w:r>
      <w:r>
        <w:rPr>
          <w:rFonts w:hint="eastAsia" w:eastAsia="仿宋_GB2312" w:cs="Times New Roman"/>
          <w:color w:val="auto"/>
          <w:w w:val="100"/>
          <w:kern w:val="2"/>
          <w:sz w:val="32"/>
          <w:szCs w:val="22"/>
          <w:lang w:val="en-US" w:eastAsia="zh-CN" w:bidi="ar"/>
        </w:rPr>
        <w:t>查</w:t>
      </w:r>
      <w:r>
        <w:rPr>
          <w:rFonts w:hint="eastAsia" w:eastAsia="仿宋_GB2312" w:cs="Times New Roman"/>
          <w:color w:val="auto"/>
          <w:w w:val="100"/>
          <w:kern w:val="2"/>
          <w:sz w:val="32"/>
          <w:szCs w:val="22"/>
          <w:lang w:eastAsia="zh-CN" w:bidi="ar"/>
        </w:rPr>
        <w:t>计划</w:t>
      </w:r>
      <w:r>
        <w:rPr>
          <w:rFonts w:hint="eastAsia" w:ascii="Times New Roman" w:hAnsi="Times New Roman" w:eastAsia="仿宋_GB2312" w:cs="Times New Roman"/>
          <w:color w:val="auto"/>
          <w:w w:val="100"/>
          <w:kern w:val="2"/>
          <w:sz w:val="32"/>
          <w:szCs w:val="22"/>
          <w:lang w:bidi="ar"/>
        </w:rPr>
        <w:t>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textAlignment w:val="auto"/>
        <w:outlineLvl w:val="9"/>
        <w:rPr>
          <w:rFonts w:hint="eastAsia" w:ascii="Times New Roman" w:hAnsi="Times New Roman" w:eastAsia="仿宋_GB2312" w:cs="Times New Roman"/>
          <w:color w:val="auto"/>
          <w:w w:val="100"/>
          <w:kern w:val="2"/>
          <w:sz w:val="32"/>
          <w:szCs w:val="22"/>
          <w:lang w:bidi="ar"/>
        </w:rPr>
      </w:pPr>
      <w:r>
        <w:rPr>
          <w:rFonts w:hint="eastAsia" w:eastAsia="仿宋_GB2312" w:cs="Times New Roman"/>
          <w:color w:val="auto"/>
          <w:w w:val="100"/>
          <w:kern w:val="2"/>
          <w:sz w:val="32"/>
          <w:szCs w:val="22"/>
          <w:lang w:val="en-US" w:eastAsia="zh-CN" w:bidi="ar"/>
        </w:rPr>
        <w:t>2.</w:t>
      </w:r>
      <w:r>
        <w:rPr>
          <w:rFonts w:hint="eastAsia" w:ascii="Times New Roman" w:hAnsi="Times New Roman" w:eastAsia="仿宋_GB2312" w:cs="Times New Roman"/>
          <w:color w:val="auto"/>
          <w:w w:val="100"/>
          <w:kern w:val="2"/>
          <w:sz w:val="32"/>
          <w:szCs w:val="22"/>
          <w:lang w:bidi="ar"/>
        </w:rPr>
        <w:t>2025年用人单位职业卫生随机监督抽</w:t>
      </w:r>
      <w:r>
        <w:rPr>
          <w:rFonts w:hint="eastAsia" w:eastAsia="仿宋_GB2312" w:cs="Times New Roman"/>
          <w:color w:val="auto"/>
          <w:w w:val="100"/>
          <w:kern w:val="2"/>
          <w:sz w:val="32"/>
          <w:szCs w:val="22"/>
          <w:lang w:val="en-US" w:eastAsia="zh-CN" w:bidi="ar"/>
        </w:rPr>
        <w:t>查任务表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3</w:t>
      </w:r>
      <w:r>
        <w:rPr>
          <w:rFonts w:hint="eastAsia" w:ascii="Times New Roman" w:hAnsi="Times New Roman" w:eastAsia="仿宋_GB2312" w:cs="Times New Roman"/>
          <w:color w:val="auto"/>
          <w:w w:val="100"/>
          <w:kern w:val="2"/>
          <w:sz w:val="32"/>
          <w:szCs w:val="22"/>
          <w:lang w:bidi="ar"/>
        </w:rPr>
        <w:t>.2025年用人单位职业卫生随机监督抽查汇总表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w w:val="100"/>
          <w:kern w:val="2"/>
          <w:sz w:val="32"/>
          <w:szCs w:val="22"/>
          <w:lang w:val="en-US" w:eastAsia="zh-CN" w:bidi="ar"/>
        </w:rPr>
      </w:pPr>
      <w:r>
        <w:rPr>
          <w:rFonts w:hint="eastAsia" w:eastAsia="仿宋_GB2312" w:cs="Times New Roman"/>
          <w:color w:val="auto"/>
          <w:w w:val="100"/>
          <w:kern w:val="2"/>
          <w:sz w:val="32"/>
          <w:szCs w:val="22"/>
          <w:lang w:val="en-US" w:eastAsia="zh-CN" w:bidi="ar"/>
        </w:rPr>
        <w:t xml:space="preserve">      4.用人单位随机监督抽查信息填报指引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val="en-US" w:eastAsia="zh-CN"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5</w:t>
      </w:r>
      <w:r>
        <w:rPr>
          <w:rFonts w:hint="eastAsia" w:ascii="Times New Roman" w:hAnsi="Times New Roman" w:eastAsia="仿宋_GB2312" w:cs="Times New Roman"/>
          <w:color w:val="auto"/>
          <w:w w:val="100"/>
          <w:kern w:val="2"/>
          <w:sz w:val="32"/>
          <w:szCs w:val="22"/>
          <w:lang w:bidi="ar"/>
        </w:rPr>
        <w:t>.2025年职业卫生和放射卫生技术服务机构随机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监督抽查计划表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6</w:t>
      </w:r>
      <w:r>
        <w:rPr>
          <w:rFonts w:hint="eastAsia" w:ascii="Times New Roman" w:hAnsi="Times New Roman" w:eastAsia="仿宋_GB2312" w:cs="Times New Roman"/>
          <w:color w:val="auto"/>
          <w:w w:val="100"/>
          <w:kern w:val="2"/>
          <w:sz w:val="32"/>
          <w:szCs w:val="22"/>
          <w:lang w:bidi="ar"/>
        </w:rPr>
        <w:t>.2025年职业卫生和放射卫生技术服务机构随机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监督抽查汇总表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7</w:t>
      </w:r>
      <w:r>
        <w:rPr>
          <w:rFonts w:hint="eastAsia" w:ascii="Times New Roman" w:hAnsi="Times New Roman" w:eastAsia="仿宋_GB2312" w:cs="Times New Roman"/>
          <w:color w:val="auto"/>
          <w:w w:val="100"/>
          <w:kern w:val="2"/>
          <w:sz w:val="32"/>
          <w:szCs w:val="22"/>
          <w:lang w:bidi="ar"/>
        </w:rPr>
        <w:t>.2025年放射诊疗、职业健康检查、职业病诊断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机构随机监督抽查工作计划表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8</w:t>
      </w:r>
      <w:r>
        <w:rPr>
          <w:rFonts w:hint="eastAsia" w:ascii="Times New Roman" w:hAnsi="Times New Roman" w:eastAsia="仿宋_GB2312" w:cs="Times New Roman"/>
          <w:color w:val="auto"/>
          <w:w w:val="100"/>
          <w:kern w:val="2"/>
          <w:sz w:val="32"/>
          <w:szCs w:val="22"/>
          <w:lang w:bidi="ar"/>
        </w:rPr>
        <w:t>.2025年放射诊疗机构随机监督抽查汇总表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9</w:t>
      </w:r>
      <w:r>
        <w:rPr>
          <w:rFonts w:hint="eastAsia" w:ascii="Times New Roman" w:hAnsi="Times New Roman" w:eastAsia="仿宋_GB2312" w:cs="Times New Roman"/>
          <w:color w:val="auto"/>
          <w:w w:val="100"/>
          <w:kern w:val="2"/>
          <w:sz w:val="32"/>
          <w:szCs w:val="22"/>
          <w:lang w:bidi="ar"/>
        </w:rPr>
        <w:t>.2025年职业健康检查机构、职业病诊断机构</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随机监督抽查汇总表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1</w:t>
      </w:r>
      <w:r>
        <w:rPr>
          <w:rFonts w:hint="eastAsia" w:eastAsia="仿宋_GB2312" w:cs="Times New Roman"/>
          <w:color w:val="auto"/>
          <w:w w:val="100"/>
          <w:kern w:val="2"/>
          <w:sz w:val="32"/>
          <w:szCs w:val="22"/>
          <w:lang w:val="en-US" w:eastAsia="zh-CN" w:bidi="ar"/>
        </w:rPr>
        <w:t>0</w:t>
      </w:r>
      <w:r>
        <w:rPr>
          <w:rFonts w:hint="eastAsia" w:ascii="Times New Roman" w:hAnsi="Times New Roman" w:eastAsia="仿宋_GB2312" w:cs="Times New Roman"/>
          <w:color w:val="auto"/>
          <w:w w:val="100"/>
          <w:kern w:val="2"/>
          <w:sz w:val="32"/>
          <w:szCs w:val="22"/>
          <w:lang w:bidi="ar"/>
        </w:rPr>
        <w:t>.2025年职业卫生</w:t>
      </w:r>
      <w:r>
        <w:rPr>
          <w:rFonts w:hint="eastAsia" w:ascii="Times New Roman" w:hAnsi="Times New Roman" w:eastAsia="仿宋_GB2312" w:cs="Times New Roman"/>
          <w:color w:val="auto"/>
          <w:w w:val="100"/>
          <w:kern w:val="2"/>
          <w:sz w:val="32"/>
          <w:szCs w:val="22"/>
          <w:lang w:eastAsia="zh-CN" w:bidi="ar"/>
        </w:rPr>
        <w:t>和</w:t>
      </w:r>
      <w:r>
        <w:rPr>
          <w:rFonts w:hint="eastAsia" w:ascii="Times New Roman" w:hAnsi="Times New Roman" w:eastAsia="仿宋_GB2312" w:cs="Times New Roman"/>
          <w:color w:val="auto"/>
          <w:w w:val="100"/>
          <w:kern w:val="2"/>
          <w:sz w:val="32"/>
          <w:szCs w:val="22"/>
          <w:lang w:bidi="ar"/>
        </w:rPr>
        <w:t>放射卫生随机监督抽查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w w:val="98"/>
          <w:kern w:val="0"/>
          <w:sz w:val="32"/>
          <w:lang w:bidi="ar"/>
        </w:rPr>
      </w:pPr>
      <w:r>
        <w:rPr>
          <w:rFonts w:hint="eastAsia" w:ascii="Times New Roman" w:hAnsi="Times New Roman" w:eastAsia="仿宋_GB2312" w:cs="Times New Roman"/>
          <w:color w:val="auto"/>
          <w:w w:val="100"/>
          <w:kern w:val="2"/>
          <w:sz w:val="32"/>
          <w:szCs w:val="22"/>
          <w:lang w:bidi="ar"/>
        </w:rPr>
        <w:t xml:space="preserve">        任务清单</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w w:val="98"/>
          <w:kern w:val="0"/>
          <w:sz w:val="32"/>
          <w:szCs w:val="32"/>
          <w:lang w:bidi="ar"/>
        </w:rPr>
        <w:sectPr>
          <w:headerReference r:id="rId3" w:type="default"/>
          <w:footerReference r:id="rId4" w:type="default"/>
          <w:pgSz w:w="11905" w:h="16838"/>
          <w:pgMar w:top="2041" w:right="1531" w:bottom="2041" w:left="1531" w:header="992" w:footer="1332" w:gutter="0"/>
          <w:lnNumType w:countBy="0" w:distance="360"/>
          <w:pgNumType w:fmt="numberInDash"/>
          <w:cols w:space="720" w:num="1"/>
          <w:rtlGutter w:val="0"/>
          <w:docGrid w:type="lines" w:linePitch="436" w:charSpace="0"/>
        </w:sectPr>
      </w:pPr>
    </w:p>
    <w:p>
      <w:pPr>
        <w:spacing w:line="59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pPr>
        <w:jc w:val="center"/>
        <w:outlineLvl w:val="0"/>
        <w:rPr>
          <w:rFonts w:hint="default" w:ascii="Times New Roman" w:hAnsi="Times New Roman" w:eastAsia="方正小标宋简体" w:cs="Times New Roman"/>
          <w:bCs/>
          <w:color w:val="auto"/>
          <w:sz w:val="44"/>
        </w:rPr>
      </w:pPr>
      <w:r>
        <w:rPr>
          <w:rFonts w:hint="default" w:ascii="Times New Roman" w:hAnsi="Times New Roman" w:eastAsia="方正小标宋简体" w:cs="Times New Roman"/>
          <w:bCs/>
          <w:color w:val="auto"/>
          <w:sz w:val="44"/>
        </w:rPr>
        <w:t>2025年用人单位职业卫生随机监督抽查计划表</w:t>
      </w:r>
    </w:p>
    <w:tbl>
      <w:tblPr>
        <w:tblStyle w:val="6"/>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3"/>
        <w:gridCol w:w="1723"/>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883" w:type="dxa"/>
            <w:gridSpan w:val="2"/>
            <w:tcBorders>
              <w:top w:val="single" w:color="000000" w:sz="4" w:space="0"/>
              <w:left w:val="single" w:color="000000" w:sz="4" w:space="0"/>
              <w:bottom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jc w:val="center"/>
        </w:trPr>
        <w:tc>
          <w:tcPr>
            <w:tcW w:w="1523"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Cs/>
                <w:color w:val="auto"/>
                <w:szCs w:val="21"/>
              </w:rPr>
              <w:t>用人单位</w:t>
            </w:r>
          </w:p>
        </w:tc>
        <w:tc>
          <w:tcPr>
            <w:tcW w:w="1723"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
                <w:bCs/>
                <w:color w:val="auto"/>
                <w:szCs w:val="21"/>
              </w:rPr>
            </w:pPr>
            <w:r>
              <w:rPr>
                <w:rFonts w:hint="eastAsia" w:ascii="仿宋_GB2312" w:hAnsi="仿宋_GB2312" w:eastAsia="仿宋_GB2312" w:cs="仿宋_GB2312"/>
                <w:bCs/>
                <w:color w:val="auto"/>
                <w:sz w:val="21"/>
                <w:szCs w:val="21"/>
                <w:lang w:val="en-US" w:eastAsia="zh-CN"/>
              </w:rPr>
              <w:t>以国家职业病危害项目申报系统2024年底企业档案数为基数，根据用人单位职业病危害综合风险评估结果实施差异化比例抽查，每地市抽取任务上限1000家。其中丙类（高风险）抽查比例为70%，乙类（中风险）抽查比例为15%，甲类（低风险）抽查比例为3%，未分类抽查比例为5%。</w:t>
            </w:r>
          </w:p>
        </w:tc>
        <w:tc>
          <w:tcPr>
            <w:tcW w:w="1938" w:type="dxa"/>
            <w:tcBorders>
              <w:top w:val="single" w:color="000000" w:sz="4" w:space="0"/>
              <w:lef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1</w:t>
            </w:r>
            <w:r>
              <w:rPr>
                <w:rFonts w:hint="default" w:ascii="Times New Roman" w:hAnsi="Times New Roman" w:eastAsia="仿宋_GB2312" w:cs="Times New Roman"/>
                <w:bCs/>
                <w:color w:val="auto"/>
                <w:szCs w:val="21"/>
              </w:rPr>
              <w:t>.职业卫生培训</w:t>
            </w:r>
          </w:p>
        </w:tc>
        <w:tc>
          <w:tcPr>
            <w:tcW w:w="8945"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5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2</w:t>
            </w:r>
            <w:r>
              <w:rPr>
                <w:rFonts w:hint="default" w:ascii="Times New Roman" w:hAnsi="Times New Roman" w:eastAsia="仿宋_GB2312" w:cs="Times New Roman"/>
                <w:bCs/>
                <w:color w:val="auto"/>
                <w:szCs w:val="21"/>
              </w:rPr>
              <w:t>.建设项目职业病防护设施“三同时”</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5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w:t>
            </w:r>
            <w:r>
              <w:rPr>
                <w:rFonts w:hint="default" w:ascii="Times New Roman" w:hAnsi="Times New Roman" w:eastAsia="仿宋_GB2312" w:cs="Times New Roman"/>
                <w:bCs/>
                <w:color w:val="auto"/>
                <w:szCs w:val="21"/>
                <w:lang w:val="en-US" w:eastAsia="zh-CN"/>
              </w:rPr>
              <w:t>3</w:t>
            </w:r>
            <w:r>
              <w:rPr>
                <w:rFonts w:hint="default" w:ascii="Times New Roman" w:hAnsi="Times New Roman" w:eastAsia="仿宋_GB2312" w:cs="Times New Roman"/>
                <w:bCs/>
                <w:color w:val="auto"/>
                <w:szCs w:val="21"/>
              </w:rPr>
              <w:t>.职业病危害项目申报</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blHeader/>
          <w:jc w:val="center"/>
        </w:trPr>
        <w:tc>
          <w:tcPr>
            <w:tcW w:w="15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4</w:t>
            </w:r>
            <w:r>
              <w:rPr>
                <w:rFonts w:hint="default" w:ascii="Times New Roman" w:hAnsi="Times New Roman" w:eastAsia="仿宋_GB2312" w:cs="Times New Roman"/>
                <w:bCs/>
                <w:color w:val="auto"/>
                <w:szCs w:val="21"/>
              </w:rPr>
              <w:t>.工作场所职业卫生管理</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1.是否按规定开展工作场所职业病危害因素监测、检测、评价，是否进行检测结果的报告</w:t>
            </w:r>
            <w:r>
              <w:rPr>
                <w:rFonts w:hint="default" w:ascii="Times New Roman" w:hAnsi="Times New Roman" w:eastAsia="仿宋_GB2312" w:cs="Times New Roman"/>
                <w:bCs/>
                <w:color w:val="auto"/>
                <w:szCs w:val="21"/>
                <w:lang w:eastAsia="zh-CN"/>
              </w:rPr>
              <w:t>、存档</w:t>
            </w:r>
            <w:r>
              <w:rPr>
                <w:rFonts w:hint="default" w:ascii="Times New Roman" w:hAnsi="Times New Roman" w:eastAsia="仿宋_GB2312" w:cs="Times New Roman"/>
                <w:bCs/>
                <w:color w:val="auto"/>
                <w:szCs w:val="21"/>
              </w:rPr>
              <w:t>和公布；</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5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5</w:t>
            </w:r>
            <w:r>
              <w:rPr>
                <w:rFonts w:hint="default" w:ascii="Times New Roman" w:hAnsi="Times New Roman" w:eastAsia="仿宋_GB2312" w:cs="Times New Roman"/>
                <w:bCs/>
                <w:color w:val="auto"/>
                <w:szCs w:val="21"/>
              </w:rPr>
              <w:t>.职业病危害警示和告知</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是否按规定设置职业病危害警示标识</w:t>
            </w:r>
            <w:r>
              <w:rPr>
                <w:rFonts w:hint="default" w:ascii="Times New Roman" w:hAnsi="Times New Roman" w:eastAsia="仿宋_GB2312" w:cs="Times New Roman"/>
                <w:bCs/>
                <w:color w:val="auto"/>
                <w:szCs w:val="21"/>
                <w:lang w:eastAsia="zh-CN"/>
              </w:rPr>
              <w:t>和中文警示说明</w:t>
            </w:r>
            <w:r>
              <w:rPr>
                <w:rFonts w:hint="default" w:ascii="Times New Roman" w:hAnsi="Times New Roman" w:eastAsia="仿宋_GB2312" w:cs="Times New Roman"/>
                <w:bCs/>
                <w:color w:val="auto"/>
                <w:szCs w:val="21"/>
              </w:rPr>
              <w:t>，告知职业病危害及危害后果。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5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.劳动者职业健康监护</w:t>
            </w:r>
          </w:p>
        </w:tc>
        <w:tc>
          <w:tcPr>
            <w:tcW w:w="8945"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是否按规定开展劳动者职业健康监护、</w:t>
            </w:r>
            <w:r>
              <w:rPr>
                <w:rFonts w:hint="eastAsia" w:eastAsia="仿宋_GB2312" w:cs="Times New Roman"/>
                <w:bCs/>
                <w:color w:val="auto"/>
                <w:szCs w:val="21"/>
                <w:lang w:eastAsia="zh-CN"/>
              </w:rPr>
              <w:t>（</w:t>
            </w:r>
            <w:r>
              <w:rPr>
                <w:rFonts w:hint="default" w:ascii="Times New Roman" w:hAnsi="Times New Roman" w:eastAsia="仿宋_GB2312" w:cs="Times New Roman"/>
                <w:bCs/>
                <w:color w:val="auto"/>
                <w:szCs w:val="21"/>
              </w:rPr>
              <w:t>工业）放射工作人员个人剂量监测。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blHeader/>
          <w:jc w:val="center"/>
        </w:trPr>
        <w:tc>
          <w:tcPr>
            <w:tcW w:w="1523"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7</w:t>
            </w:r>
            <w:r>
              <w:rPr>
                <w:rFonts w:hint="default" w:ascii="Times New Roman" w:hAnsi="Times New Roman" w:eastAsia="仿宋_GB2312" w:cs="Times New Roman"/>
                <w:bCs/>
                <w:color w:val="auto"/>
                <w:szCs w:val="21"/>
              </w:rPr>
              <w:t>.职业病病人和疑似职业病病人处置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1.是否按规定处置职业病人、疑似职业病人；</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2.是否为劳动者进行职业病诊断提供与职业史、职业病危害接触关系等相关资料。</w:t>
            </w:r>
          </w:p>
        </w:tc>
      </w:tr>
    </w:tbl>
    <w:p>
      <w:pPr>
        <w:jc w:val="left"/>
        <w:rPr>
          <w:rFonts w:hint="default" w:ascii="Times New Roman" w:hAnsi="Times New Roman" w:eastAsia="仿宋_GB2312"/>
          <w:b/>
          <w:color w:val="auto"/>
          <w:sz w:val="24"/>
        </w:rPr>
      </w:pPr>
      <w:r>
        <w:rPr>
          <w:rFonts w:hint="default" w:ascii="Times New Roman" w:hAnsi="Times New Roman" w:eastAsia="仿宋_GB2312"/>
          <w:b/>
          <w:color w:val="auto"/>
          <w:sz w:val="24"/>
        </w:rPr>
        <w:t>注：重点检查内容中“</w:t>
      </w:r>
      <w:r>
        <w:rPr>
          <w:rFonts w:hint="default" w:ascii="Times New Roman" w:hAnsi="Times New Roman" w:eastAsia="仿宋_GB2312"/>
          <w:b/>
          <w:color w:val="auto"/>
          <w:sz w:val="24"/>
          <w:lang w:val="en-US"/>
        </w:rPr>
        <w:t>3</w:t>
      </w:r>
      <w:r>
        <w:rPr>
          <w:rFonts w:hint="default" w:ascii="Times New Roman" w:hAnsi="Times New Roman" w:eastAsia="仿宋_GB2312"/>
          <w:b/>
          <w:color w:val="auto"/>
          <w:sz w:val="24"/>
        </w:rPr>
        <w:t>.职业病危害项目申报”是必查项。</w:t>
      </w:r>
    </w:p>
    <w:p>
      <w:pPr>
        <w:spacing w:line="590" w:lineRule="exact"/>
        <w:rPr>
          <w:rFonts w:hint="default" w:ascii="Times New Roman" w:hAnsi="Times New Roman" w:eastAsia="黑体" w:cs="Times New Roman"/>
          <w:color w:val="auto"/>
          <w:sz w:val="32"/>
          <w:szCs w:val="32"/>
          <w:lang w:eastAsia="zh-CN"/>
        </w:rPr>
      </w:pPr>
      <w:r>
        <w:rPr>
          <w:rFonts w:ascii="Times New Roman" w:hAnsi="Times New Roman" w:eastAsia="仿宋_GB2312"/>
          <w:color w:val="auto"/>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pPr>
        <w:spacing w:beforeLines="0" w:afterLines="0"/>
        <w:jc w:val="center"/>
        <w:outlineLvl w:val="0"/>
        <w:rPr>
          <w:rFonts w:hint="default"/>
          <w:color w:val="auto"/>
        </w:rPr>
      </w:pPr>
      <w:r>
        <w:rPr>
          <w:rFonts w:hint="eastAsia" w:ascii="方正小标宋简体" w:hAnsi="方正小标宋简体" w:eastAsia="方正小标宋简体" w:cs="方正小标宋简体"/>
          <w:b w:val="0"/>
          <w:bCs/>
          <w:color w:val="auto"/>
          <w:sz w:val="44"/>
          <w:szCs w:val="24"/>
          <w:lang w:val="en-US" w:eastAsia="zh-CN"/>
        </w:rPr>
        <w:t>2024年用人单位职业卫生随机监督抽查任务表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63"/>
        <w:gridCol w:w="1118"/>
        <w:gridCol w:w="764"/>
        <w:gridCol w:w="1691"/>
        <w:gridCol w:w="1049"/>
        <w:gridCol w:w="731"/>
        <w:gridCol w:w="1370"/>
        <w:gridCol w:w="885"/>
        <w:gridCol w:w="830"/>
        <w:gridCol w:w="15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723" w:type="dxa"/>
            <w:tcBorders>
              <w:top w:val="single" w:color="auto" w:sz="12" w:space="0"/>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地市</w:t>
            </w:r>
          </w:p>
        </w:tc>
        <w:tc>
          <w:tcPr>
            <w:tcW w:w="1363" w:type="dxa"/>
            <w:tcBorders>
              <w:top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用人单位双随机基数</w:t>
            </w:r>
            <w:r>
              <w:rPr>
                <w:rFonts w:hint="default" w:ascii="Calibri" w:hAnsi="Calibri" w:eastAsia="仿宋_GB2312" w:cs="Calibri"/>
                <w:b/>
                <w:bCs/>
                <w:color w:val="auto"/>
                <w:sz w:val="21"/>
                <w:szCs w:val="24"/>
                <w:vertAlign w:val="superscript"/>
                <w:lang w:val="en-US" w:eastAsia="zh-CN"/>
              </w:rPr>
              <w:t>①</w:t>
            </w:r>
          </w:p>
        </w:tc>
        <w:tc>
          <w:tcPr>
            <w:tcW w:w="1882" w:type="dxa"/>
            <w:gridSpan w:val="2"/>
            <w:tcBorders>
              <w:top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职业病危害风险评估情况</w:t>
            </w:r>
            <w:r>
              <w:rPr>
                <w:rFonts w:hint="default" w:ascii="Calibri" w:hAnsi="Calibri" w:eastAsia="仿宋_GB2312" w:cs="Calibri"/>
                <w:b/>
                <w:bCs/>
                <w:color w:val="auto"/>
                <w:sz w:val="21"/>
                <w:szCs w:val="24"/>
                <w:vertAlign w:val="superscript"/>
                <w:lang w:val="en-US" w:eastAsia="zh-CN"/>
              </w:rPr>
              <w:t>②</w:t>
            </w:r>
          </w:p>
        </w:tc>
        <w:tc>
          <w:tcPr>
            <w:tcW w:w="1691" w:type="dxa"/>
            <w:tcBorders>
              <w:top w:val="single" w:color="auto" w:sz="12" w:space="0"/>
            </w:tcBorders>
            <w:noWrap w:val="0"/>
            <w:vAlign w:val="center"/>
          </w:tcPr>
          <w:p>
            <w:pPr>
              <w:spacing w:beforeLines="0" w:afterLines="0" w:line="300" w:lineRule="exact"/>
              <w:jc w:val="center"/>
              <w:outlineLvl w:val="0"/>
              <w:rPr>
                <w:rFonts w:hint="eastAsia" w:ascii="仿宋_GB2312" w:hAnsi="仿宋_GB2312" w:eastAsia="仿宋_GB2312" w:cs="仿宋_GB2312"/>
                <w:b/>
                <w:bCs/>
                <w:color w:val="auto"/>
                <w:sz w:val="21"/>
                <w:szCs w:val="24"/>
                <w:vertAlign w:val="baseline"/>
              </w:rPr>
            </w:pPr>
            <w:r>
              <w:rPr>
                <w:rFonts w:hint="eastAsia" w:eastAsia="仿宋_GB2312" w:cs="Times New Roman"/>
                <w:b/>
                <w:bCs/>
                <w:color w:val="auto"/>
                <w:sz w:val="21"/>
                <w:szCs w:val="24"/>
                <w:vertAlign w:val="baseline"/>
                <w:lang w:val="en-US" w:eastAsia="zh-CN"/>
              </w:rPr>
              <w:t>差异化随机监督抽查任务数</w:t>
            </w:r>
            <w:r>
              <w:rPr>
                <w:rFonts w:hint="default" w:ascii="Calibri" w:hAnsi="Calibri" w:eastAsia="微软雅黑" w:cs="微软雅黑"/>
                <w:b/>
                <w:bCs/>
                <w:color w:val="auto"/>
                <w:sz w:val="21"/>
                <w:szCs w:val="24"/>
                <w:vertAlign w:val="superscript"/>
                <w:lang w:val="en-US" w:eastAsia="zh-CN"/>
              </w:rPr>
              <w:t>④</w:t>
            </w:r>
          </w:p>
        </w:tc>
        <w:tc>
          <w:tcPr>
            <w:tcW w:w="1049" w:type="dxa"/>
            <w:tcBorders>
              <w:top w:val="single" w:color="auto" w:sz="12" w:space="0"/>
              <w:right w:val="single" w:color="auto" w:sz="12" w:space="0"/>
            </w:tcBorders>
            <w:noWrap w:val="0"/>
            <w:vAlign w:val="center"/>
          </w:tcPr>
          <w:p>
            <w:pPr>
              <w:spacing w:beforeLines="0" w:afterLines="0" w:line="300" w:lineRule="exact"/>
              <w:jc w:val="center"/>
              <w:outlineLvl w:val="0"/>
              <w:rPr>
                <w:rFonts w:hint="eastAsia" w:eastAsia="仿宋_GB2312" w:cs="Times New Roman"/>
                <w:b/>
                <w:bCs/>
                <w:color w:val="auto"/>
                <w:kern w:val="2"/>
                <w:sz w:val="21"/>
                <w:szCs w:val="24"/>
                <w:vertAlign w:val="baseline"/>
                <w:lang w:val="en-US" w:eastAsia="zh-CN" w:bidi="ar-SA"/>
              </w:rPr>
            </w:pPr>
            <w:r>
              <w:rPr>
                <w:rFonts w:hint="eastAsia" w:eastAsia="仿宋_GB2312" w:cs="Times New Roman"/>
                <w:b/>
                <w:bCs/>
                <w:color w:val="auto"/>
                <w:kern w:val="2"/>
                <w:sz w:val="21"/>
                <w:szCs w:val="24"/>
                <w:vertAlign w:val="baseline"/>
                <w:lang w:val="en-US" w:eastAsia="zh-CN" w:bidi="ar-SA"/>
              </w:rPr>
              <w:t>合计</w:t>
            </w:r>
          </w:p>
          <w:p>
            <w:pPr>
              <w:spacing w:beforeLines="0" w:afterLines="0" w:line="300" w:lineRule="exact"/>
              <w:jc w:val="center"/>
              <w:outlineLvl w:val="0"/>
              <w:rPr>
                <w:rFonts w:hint="eastAsia" w:ascii="仿宋_GB2312" w:hAnsi="仿宋_GB2312" w:eastAsia="仿宋_GB2312" w:cs="仿宋_GB2312"/>
                <w:b/>
                <w:bCs/>
                <w:color w:val="auto"/>
                <w:kern w:val="2"/>
                <w:sz w:val="21"/>
                <w:szCs w:val="24"/>
                <w:vertAlign w:val="baseline"/>
                <w:lang w:val="en-US" w:eastAsia="zh-CN" w:bidi="ar-SA"/>
              </w:rPr>
            </w:pPr>
            <w:r>
              <w:rPr>
                <w:rFonts w:hint="eastAsia" w:eastAsia="仿宋_GB2312" w:cs="Times New Roman"/>
                <w:b/>
                <w:bCs/>
                <w:color w:val="auto"/>
                <w:kern w:val="2"/>
                <w:sz w:val="21"/>
                <w:szCs w:val="24"/>
                <w:vertAlign w:val="baseline"/>
                <w:lang w:val="en-US" w:eastAsia="zh-CN" w:bidi="ar-SA"/>
              </w:rPr>
              <w:t>任务数</w:t>
            </w:r>
            <w:r>
              <w:rPr>
                <w:rFonts w:hint="default" w:ascii="Calibri" w:hAnsi="Calibri" w:eastAsia="仿宋_GB2312" w:cs="仿宋_GB2312"/>
                <w:b/>
                <w:bCs/>
                <w:color w:val="auto"/>
                <w:kern w:val="2"/>
                <w:sz w:val="21"/>
                <w:szCs w:val="24"/>
                <w:vertAlign w:val="superscript"/>
                <w:lang w:val="en-US" w:eastAsia="zh-CN" w:bidi="ar-SA"/>
              </w:rPr>
              <w:t>⑤</w:t>
            </w:r>
          </w:p>
        </w:tc>
        <w:tc>
          <w:tcPr>
            <w:tcW w:w="731" w:type="dxa"/>
            <w:tcBorders>
              <w:top w:val="single" w:color="auto" w:sz="12" w:space="0"/>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地市</w:t>
            </w:r>
          </w:p>
        </w:tc>
        <w:tc>
          <w:tcPr>
            <w:tcW w:w="1370" w:type="dxa"/>
            <w:tcBorders>
              <w:top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用人单位双随机基数</w:t>
            </w:r>
          </w:p>
        </w:tc>
        <w:tc>
          <w:tcPr>
            <w:tcW w:w="1715" w:type="dxa"/>
            <w:gridSpan w:val="2"/>
            <w:tcBorders>
              <w:top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职业病危害风险评估情况</w:t>
            </w:r>
          </w:p>
        </w:tc>
        <w:tc>
          <w:tcPr>
            <w:tcW w:w="1567" w:type="dxa"/>
            <w:tcBorders>
              <w:top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sz w:val="21"/>
                <w:szCs w:val="24"/>
                <w:vertAlign w:val="baseline"/>
              </w:rPr>
            </w:pPr>
            <w:r>
              <w:rPr>
                <w:rFonts w:hint="eastAsia" w:eastAsia="仿宋_GB2312" w:cs="Times New Roman"/>
                <w:b/>
                <w:bCs/>
                <w:color w:val="auto"/>
                <w:sz w:val="21"/>
                <w:szCs w:val="24"/>
                <w:vertAlign w:val="baseline"/>
                <w:lang w:val="en-US" w:eastAsia="zh-CN"/>
              </w:rPr>
              <w:t>差异化随机监督抽查任务数</w:t>
            </w:r>
          </w:p>
        </w:tc>
        <w:tc>
          <w:tcPr>
            <w:tcW w:w="1077" w:type="dxa"/>
            <w:tcBorders>
              <w:top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b/>
                <w:bCs/>
                <w:color w:val="auto"/>
                <w:sz w:val="21"/>
                <w:szCs w:val="24"/>
                <w:vertAlign w:val="baseline"/>
              </w:rPr>
            </w:pPr>
            <w:r>
              <w:rPr>
                <w:rFonts w:hint="eastAsia" w:eastAsia="仿宋_GB2312" w:cs="Times New Roman"/>
                <w:b/>
                <w:bCs/>
                <w:color w:val="auto"/>
                <w:kern w:val="2"/>
                <w:sz w:val="21"/>
                <w:szCs w:val="24"/>
                <w:vertAlign w:val="baseline"/>
                <w:lang w:val="en-US" w:eastAsia="zh-CN" w:bidi="ar-SA"/>
              </w:rPr>
              <w:t>地市合计任务数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广州</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12396</w:t>
            </w:r>
          </w:p>
        </w:tc>
        <w:tc>
          <w:tcPr>
            <w:tcW w:w="1118"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2923</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1000</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中山</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12402</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458</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5408</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w:t>
            </w:r>
            <w:r>
              <w:rPr>
                <w:rFonts w:hint="eastAsia" w:ascii="Times New Roman" w:hAnsi="Times New Roman" w:eastAsia="仿宋_GB2312" w:cs="Times New Roman"/>
                <w:color w:val="auto"/>
                <w:sz w:val="21"/>
                <w:szCs w:val="24"/>
                <w:vertAlign w:val="baseline"/>
                <w:lang w:val="en-US" w:eastAsia="zh-CN"/>
              </w:rPr>
              <w:t>14</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243</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36</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1123</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786</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84</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59</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eastAsia" w:ascii="仿宋_GB2312" w:hAnsi="仿宋_GB2312" w:eastAsia="仿宋_GB2312" w:cs="仿宋_GB2312"/>
                <w:color w:val="auto"/>
                <w:sz w:val="21"/>
                <w:szCs w:val="24"/>
                <w:vertAlign w:val="baseline"/>
                <w:lang w:val="en-US" w:eastAsia="zh-CN"/>
              </w:rPr>
            </w:pPr>
            <w:r>
              <w:rPr>
                <w:rFonts w:hint="eastAsia" w:eastAsia="仿宋_GB2312" w:cs="Times New Roman"/>
                <w:color w:val="auto"/>
                <w:sz w:val="21"/>
                <w:szCs w:val="24"/>
                <w:vertAlign w:val="baseline"/>
                <w:lang w:val="en-US" w:eastAsia="zh-CN"/>
              </w:rPr>
              <w:t>未分类</w:t>
            </w:r>
            <w:r>
              <w:rPr>
                <w:rFonts w:hint="default" w:ascii="Calibri" w:hAnsi="Calibri" w:eastAsia="仿宋_GB2312" w:cs="Calibri"/>
                <w:color w:val="auto"/>
                <w:sz w:val="21"/>
                <w:szCs w:val="24"/>
                <w:vertAlign w:val="superscript"/>
                <w:lang w:val="en-US" w:eastAsia="zh-CN"/>
              </w:rPr>
              <w:t>③</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2942</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11617</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581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深圳</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44815</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7874</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1000</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江门</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3809</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334</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10061</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202</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400</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60</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1140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798</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64</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25743</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3011</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151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珠海</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2929</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666</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20</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763</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阳江</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1766</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68</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1269</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190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262</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39</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775</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542</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135</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219</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1301</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汕头</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3576</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keepNext w:val="0"/>
              <w:keepLines w:val="0"/>
              <w:widowControl/>
              <w:suppressLineNumbers w:val="0"/>
              <w:spacing w:beforeLines="0" w:afterLines="0" w:line="300" w:lineRule="exact"/>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566</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264</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湛江</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2190</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703</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21</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keepNext w:val="0"/>
              <w:keepLines w:val="0"/>
              <w:widowControl/>
              <w:suppressLineNumbers w:val="0"/>
              <w:spacing w:beforeLines="0" w:afterLines="0" w:line="300" w:lineRule="exact"/>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308</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46</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91</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keepNext w:val="0"/>
              <w:keepLines w:val="0"/>
              <w:widowControl/>
              <w:suppressLineNumbers w:val="0"/>
              <w:spacing w:beforeLines="0" w:afterLines="0" w:line="300" w:lineRule="exact"/>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101</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71</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69</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keepNext w:val="0"/>
              <w:keepLines w:val="0"/>
              <w:widowControl/>
              <w:suppressLineNumbers w:val="0"/>
              <w:spacing w:beforeLines="0" w:afterLines="0" w:line="300" w:lineRule="exact"/>
              <w:jc w:val="right"/>
              <w:textAlignment w:val="center"/>
              <w:rPr>
                <w:rFonts w:hint="default" w:ascii="Times New Roman" w:hAnsi="Times New Roman" w:eastAsia="仿宋_GB2312" w:cs="Times New Roman"/>
                <w:color w:val="auto"/>
                <w:sz w:val="21"/>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2601</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130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1298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佛山</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44955</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3092</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1000</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茂名</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1130</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404</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5183</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143</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4060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47</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33</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32620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536</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27</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韶关</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1230</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174</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211</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肇庆</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2278</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983</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29</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231</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35</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808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200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126</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88</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625</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31</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361</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18</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河源</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1200</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108</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147</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清远</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1654</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645</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19</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172</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368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77</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110</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77</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810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41</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531</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27</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梅州</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882</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261</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98</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潮州</w:t>
            </w:r>
          </w:p>
        </w:tc>
        <w:tc>
          <w:tcPr>
            <w:tcW w:w="1370" w:type="dxa"/>
            <w:vMerge w:val="restart"/>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1488</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98</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15</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76</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53</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0</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0</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447</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22</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1468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73</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惠州</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4723</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525</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16</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471</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揭阳</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1351</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98</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746</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112</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96</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262</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183</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52</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36</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3190</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160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1105</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55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汕尾</w:t>
            </w:r>
          </w:p>
        </w:tc>
        <w:tc>
          <w:tcPr>
            <w:tcW w:w="1363"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750</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45</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w:t>
            </w:r>
          </w:p>
        </w:tc>
        <w:tc>
          <w:tcPr>
            <w:tcW w:w="1049"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189</w:t>
            </w:r>
          </w:p>
        </w:tc>
        <w:tc>
          <w:tcPr>
            <w:tcW w:w="731" w:type="dxa"/>
            <w:vMerge w:val="restart"/>
            <w:tcBorders>
              <w:left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云浮</w:t>
            </w:r>
          </w:p>
        </w:tc>
        <w:tc>
          <w:tcPr>
            <w:tcW w:w="1370" w:type="dxa"/>
            <w:vMerge w:val="restart"/>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1304</w:t>
            </w: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114</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3</w:t>
            </w:r>
          </w:p>
        </w:tc>
        <w:tc>
          <w:tcPr>
            <w:tcW w:w="1077" w:type="dxa"/>
            <w:vMerge w:val="restart"/>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79</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12</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142</w:t>
            </w:r>
          </w:p>
        </w:tc>
        <w:tc>
          <w:tcPr>
            <w:tcW w:w="1567"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21</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221</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155</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155</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109</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3"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405</w:t>
            </w:r>
          </w:p>
        </w:tc>
        <w:tc>
          <w:tcPr>
            <w:tcW w:w="1691" w:type="dxa"/>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20</w:t>
            </w:r>
          </w:p>
        </w:tc>
        <w:tc>
          <w:tcPr>
            <w:tcW w:w="1049"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731" w:type="dxa"/>
            <w:vMerge w:val="continue"/>
            <w:tcBorders>
              <w:lef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30"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893</w:t>
            </w:r>
          </w:p>
        </w:tc>
        <w:tc>
          <w:tcPr>
            <w:tcW w:w="1567"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45</w:t>
            </w:r>
          </w:p>
        </w:tc>
        <w:tc>
          <w:tcPr>
            <w:tcW w:w="1077" w:type="dxa"/>
            <w:vMerge w:val="continue"/>
            <w:tcBorders>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12" w:space="0"/>
              <w:bottom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东莞</w:t>
            </w:r>
          </w:p>
        </w:tc>
        <w:tc>
          <w:tcPr>
            <w:tcW w:w="1363" w:type="dxa"/>
            <w:vMerge w:val="restart"/>
            <w:tcBorders>
              <w:bottom w:val="single" w:color="auto" w:sz="12" w:space="0"/>
            </w:tcBorders>
            <w:noWrap w:val="0"/>
            <w:vAlign w:val="center"/>
          </w:tcPr>
          <w:p>
            <w:pPr>
              <w:keepNext w:val="0"/>
              <w:keepLines w:val="0"/>
              <w:widowControl/>
              <w:suppressLineNumbers w:val="0"/>
              <w:spacing w:beforeLines="0" w:afterLines="0" w:line="300" w:lineRule="exact"/>
              <w:jc w:val="center"/>
              <w:textAlignment w:val="center"/>
              <w:rPr>
                <w:rFonts w:hint="default" w:ascii="宋体" w:hAnsi="宋体" w:eastAsia="宋体" w:cs="宋体"/>
                <w:i w:val="0"/>
                <w:iCs w:val="0"/>
                <w:color w:val="auto"/>
                <w:kern w:val="2"/>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27666</w:t>
            </w: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4886</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restart"/>
            <w:tcBorders>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1000</w:t>
            </w:r>
          </w:p>
        </w:tc>
        <w:tc>
          <w:tcPr>
            <w:tcW w:w="731" w:type="dxa"/>
            <w:vMerge w:val="restart"/>
            <w:tcBorders>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w:t>
            </w:r>
          </w:p>
        </w:tc>
        <w:tc>
          <w:tcPr>
            <w:tcW w:w="1370" w:type="dxa"/>
            <w:vMerge w:val="restart"/>
            <w:tcBorders>
              <w:bottom w:val="single" w:color="auto" w:sz="12" w:space="0"/>
            </w:tcBorders>
            <w:noWrap w:val="0"/>
            <w:vAlign w:val="center"/>
          </w:tcPr>
          <w:p>
            <w:pPr>
              <w:spacing w:beforeLines="0" w:afterLines="0" w:line="30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w:t>
            </w:r>
          </w:p>
        </w:tc>
        <w:tc>
          <w:tcPr>
            <w:tcW w:w="885" w:type="dxa"/>
            <w:vMerge w:val="restart"/>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w:t>
            </w:r>
          </w:p>
        </w:tc>
        <w:tc>
          <w:tcPr>
            <w:tcW w:w="830" w:type="dxa"/>
            <w:vMerge w:val="restart"/>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w:t>
            </w:r>
          </w:p>
        </w:tc>
        <w:tc>
          <w:tcPr>
            <w:tcW w:w="1567" w:type="dxa"/>
            <w:vMerge w:val="restart"/>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w:t>
            </w:r>
          </w:p>
        </w:tc>
        <w:tc>
          <w:tcPr>
            <w:tcW w:w="1077" w:type="dxa"/>
            <w:vMerge w:val="restart"/>
            <w:tcBorders>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r>
              <w:rPr>
                <w:rFonts w:hint="eastAsia" w:eastAsia="仿宋_GB2312" w:cs="Times New Roman"/>
                <w:color w:val="auto"/>
                <w:sz w:val="21"/>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4334</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184</w:t>
            </w:r>
          </w:p>
        </w:tc>
        <w:tc>
          <w:tcPr>
            <w:tcW w:w="1049"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731"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3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567"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077"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64"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1165</w:t>
            </w:r>
          </w:p>
        </w:tc>
        <w:tc>
          <w:tcPr>
            <w:tcW w:w="1691" w:type="dxa"/>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816</w:t>
            </w:r>
          </w:p>
        </w:tc>
        <w:tc>
          <w:tcPr>
            <w:tcW w:w="1049"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731"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3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567"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077"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63"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118" w:type="dxa"/>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64" w:type="dxa"/>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17281</w:t>
            </w:r>
          </w:p>
        </w:tc>
        <w:tc>
          <w:tcPr>
            <w:tcW w:w="1691" w:type="dxa"/>
            <w:tcBorders>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Times New Roman" w:hAnsi="Times New Roman" w:eastAsia="仿宋_GB2312" w:cs="Times New Roman"/>
                <w:color w:val="auto"/>
                <w:sz w:val="21"/>
                <w:szCs w:val="24"/>
                <w:vertAlign w:val="baseline"/>
                <w:lang w:val="en-US" w:eastAsia="zh-CN"/>
              </w:rPr>
              <w:t>\</w:t>
            </w:r>
          </w:p>
        </w:tc>
        <w:tc>
          <w:tcPr>
            <w:tcW w:w="1049"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731" w:type="dxa"/>
            <w:vMerge w:val="continue"/>
            <w:tcBorders>
              <w:top w:val="single" w:color="auto" w:sz="12" w:space="0"/>
              <w:left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37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85"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830"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567" w:type="dxa"/>
            <w:vMerge w:val="continue"/>
            <w:tcBorders>
              <w:top w:val="single" w:color="auto" w:sz="12" w:space="0"/>
              <w:bottom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c>
          <w:tcPr>
            <w:tcW w:w="1077" w:type="dxa"/>
            <w:vMerge w:val="continue"/>
            <w:tcBorders>
              <w:top w:val="single" w:color="auto" w:sz="12"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08" w:type="dxa"/>
            <w:gridSpan w:val="6"/>
            <w:tcBorders>
              <w:top w:val="single" w:color="auto" w:sz="12" w:space="0"/>
              <w:left w:val="single" w:color="auto" w:sz="12" w:space="0"/>
              <w:bottom w:val="single" w:color="auto" w:sz="12" w:space="0"/>
              <w:right w:val="single" w:color="auto" w:sz="4"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全省合计随机监督抽查任务数</w:t>
            </w:r>
          </w:p>
        </w:tc>
        <w:tc>
          <w:tcPr>
            <w:tcW w:w="6460" w:type="dxa"/>
            <w:gridSpan w:val="6"/>
            <w:tcBorders>
              <w:top w:val="single" w:color="auto" w:sz="12" w:space="0"/>
              <w:left w:val="single" w:color="auto" w:sz="4" w:space="0"/>
              <w:bottom w:val="single" w:color="auto" w:sz="12" w:space="0"/>
              <w:right w:val="single" w:color="auto" w:sz="12" w:space="0"/>
            </w:tcBorders>
            <w:noWrap w:val="0"/>
            <w:vAlign w:val="center"/>
          </w:tcPr>
          <w:p>
            <w:pPr>
              <w:spacing w:beforeLines="0" w:afterLines="0" w:line="300" w:lineRule="exact"/>
              <w:jc w:val="center"/>
              <w:outlineLvl w:val="0"/>
              <w:rPr>
                <w:rFonts w:hint="default" w:ascii="Times New Roman" w:hAnsi="Times New Roman" w:eastAsia="仿宋_GB2312" w:cs="Times New Roman"/>
                <w:color w:val="auto"/>
                <w:sz w:val="21"/>
                <w:szCs w:val="24"/>
                <w:vertAlign w:val="baseline"/>
                <w:lang w:val="en-US"/>
              </w:rPr>
            </w:pPr>
            <w:r>
              <w:rPr>
                <w:rFonts w:hint="eastAsia" w:eastAsia="仿宋_GB2312" w:cs="Times New Roman"/>
                <w:color w:val="auto"/>
                <w:sz w:val="21"/>
                <w:szCs w:val="24"/>
                <w:vertAlign w:val="baseline"/>
                <w:lang w:val="en-US" w:eastAsia="zh-CN"/>
              </w:rPr>
              <w:t>8357</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eastAsia="仿宋_GB2312" w:cs="Times New Roman"/>
          <w:b/>
          <w:bCs/>
          <w:color w:val="auto"/>
          <w:sz w:val="21"/>
          <w:szCs w:val="24"/>
          <w:vertAlign w:val="baseline"/>
          <w:lang w:val="en-US" w:eastAsia="zh-CN"/>
        </w:rPr>
      </w:pPr>
      <w:r>
        <w:rPr>
          <w:rFonts w:hint="eastAsia" w:ascii="仿宋_GB2312" w:hAnsi="黑体" w:eastAsia="仿宋_GB2312" w:cs="Times New Roman"/>
          <w:b/>
          <w:color w:val="auto"/>
          <w:sz w:val="24"/>
          <w:szCs w:val="24"/>
          <w:lang w:val="en-US" w:eastAsia="zh-CN"/>
        </w:rPr>
        <w:t>注：</w:t>
      </w:r>
      <w:r>
        <w:rPr>
          <w:rFonts w:hint="default" w:ascii="仿宋_GB2312" w:hAnsi="黑体" w:eastAsia="仿宋_GB2312" w:cs="Times New Roman"/>
          <w:b/>
          <w:color w:val="auto"/>
          <w:sz w:val="24"/>
          <w:szCs w:val="24"/>
          <w:lang w:val="en-US" w:eastAsia="zh-CN"/>
        </w:rPr>
        <w:t>①</w:t>
      </w:r>
      <w:r>
        <w:rPr>
          <w:rFonts w:hint="eastAsia" w:ascii="仿宋_GB2312" w:hAnsi="黑体" w:eastAsia="仿宋_GB2312" w:cs="Times New Roman"/>
          <w:b/>
          <w:color w:val="auto"/>
          <w:sz w:val="24"/>
          <w:szCs w:val="24"/>
          <w:lang w:val="en-US" w:eastAsia="zh-CN"/>
        </w:rPr>
        <w:t>用人单位双随机基数为各地市2023年底国家职业病危害项目申报系统中的申报单位数，职业病危害项目申报单位数=初次申报单位数-注销单位数-放射诊疗单位数。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82" w:firstLineChars="200"/>
        <w:jc w:val="both"/>
        <w:textAlignment w:val="auto"/>
        <w:rPr>
          <w:rFonts w:hint="eastAsia" w:ascii="仿宋_GB2312" w:hAnsi="黑体" w:eastAsia="仿宋_GB2312" w:cs="Times New Roman"/>
          <w:b/>
          <w:bCs w:val="0"/>
          <w:color w:val="auto"/>
          <w:kern w:val="2"/>
          <w:sz w:val="24"/>
          <w:szCs w:val="24"/>
          <w:lang w:val="en-US" w:eastAsia="zh-CN" w:bidi="ar-SA"/>
        </w:rPr>
      </w:pPr>
      <w:r>
        <w:rPr>
          <w:rFonts w:hint="default" w:ascii="仿宋_GB2312" w:hAnsi="黑体" w:eastAsia="仿宋_GB2312" w:cs="Times New Roman"/>
          <w:b/>
          <w:bCs w:val="0"/>
          <w:color w:val="auto"/>
          <w:kern w:val="2"/>
          <w:sz w:val="24"/>
          <w:szCs w:val="24"/>
          <w:lang w:val="en-US" w:eastAsia="zh-CN" w:bidi="ar-SA"/>
        </w:rPr>
        <w:t>②</w:t>
      </w:r>
      <w:r>
        <w:rPr>
          <w:rFonts w:hint="eastAsia" w:ascii="仿宋_GB2312" w:hAnsi="黑体" w:eastAsia="仿宋_GB2312" w:cs="Times New Roman"/>
          <w:b/>
          <w:bCs w:val="0"/>
          <w:color w:val="auto"/>
          <w:kern w:val="2"/>
          <w:sz w:val="24"/>
          <w:szCs w:val="24"/>
          <w:lang w:val="en-US" w:eastAsia="zh-CN" w:bidi="ar-SA"/>
        </w:rPr>
        <w:t>职业病危害风险评估情况为各地市2023年底报送省卫生监督所的用人单位职业病危害风险评估情况。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仿宋_GB2312" w:hAnsi="黑体" w:eastAsia="仿宋_GB2312" w:cs="Times New Roman"/>
          <w:b/>
          <w:bCs w:val="0"/>
          <w:color w:val="auto"/>
          <w:kern w:val="2"/>
          <w:sz w:val="24"/>
          <w:szCs w:val="24"/>
          <w:lang w:val="en-US" w:eastAsia="zh-CN" w:bidi="ar-SA"/>
        </w:rPr>
      </w:pPr>
      <w:r>
        <w:rPr>
          <w:rFonts w:hint="default" w:ascii="仿宋_GB2312" w:hAnsi="黑体" w:eastAsia="仿宋_GB2312" w:cs="Times New Roman"/>
          <w:b/>
          <w:bCs w:val="0"/>
          <w:color w:val="auto"/>
          <w:kern w:val="2"/>
          <w:sz w:val="24"/>
          <w:szCs w:val="24"/>
          <w:lang w:val="en-US" w:eastAsia="zh-CN" w:bidi="ar-SA"/>
        </w:rPr>
        <w:t>③</w:t>
      </w:r>
      <w:r>
        <w:rPr>
          <w:rFonts w:hint="eastAsia" w:ascii="仿宋_GB2312" w:hAnsi="黑体" w:eastAsia="仿宋_GB2312" w:cs="Times New Roman"/>
          <w:b/>
          <w:bCs w:val="0"/>
          <w:color w:val="auto"/>
          <w:kern w:val="2"/>
          <w:sz w:val="24"/>
          <w:szCs w:val="24"/>
          <w:lang w:val="en-US" w:eastAsia="zh-CN" w:bidi="ar-SA"/>
        </w:rPr>
        <w:t>职业病危害风险评估情况未分类单位数为职业病危害项目申报单位数与甲、乙、丙类职业病危害风险评估单位数之差，职业病危害风险评估情况未分类单位数=职业病危害项目申报单位数-甲类单位数-乙类单位数-丙类单位数。</w:t>
      </w:r>
    </w:p>
    <w:p>
      <w:pPr>
        <w:pStyle w:val="3"/>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default" w:ascii="仿宋_GB2312" w:hAnsi="黑体" w:eastAsia="仿宋_GB2312" w:cs="Times New Roman"/>
          <w:b/>
          <w:bCs w:val="0"/>
          <w:color w:val="auto"/>
          <w:kern w:val="2"/>
          <w:sz w:val="24"/>
          <w:szCs w:val="24"/>
          <w:lang w:val="en-US" w:eastAsia="zh-CN" w:bidi="ar-SA"/>
        </w:rPr>
      </w:pPr>
      <w:r>
        <w:rPr>
          <w:rFonts w:hint="eastAsia" w:ascii="仿宋_GB2312" w:hAnsi="黑体" w:eastAsia="仿宋_GB2312" w:cs="Times New Roman"/>
          <w:b/>
          <w:bCs w:val="0"/>
          <w:color w:val="auto"/>
          <w:kern w:val="2"/>
          <w:sz w:val="24"/>
          <w:szCs w:val="24"/>
          <w:lang w:val="en-US" w:eastAsia="zh-CN" w:bidi="ar-SA"/>
        </w:rPr>
        <w:t xml:space="preserve">    </w:t>
      </w:r>
      <w:r>
        <w:rPr>
          <w:rFonts w:hint="default" w:ascii="仿宋_GB2312" w:hAnsi="黑体" w:eastAsia="仿宋_GB2312" w:cs="Times New Roman"/>
          <w:b/>
          <w:bCs w:val="0"/>
          <w:color w:val="auto"/>
          <w:kern w:val="2"/>
          <w:sz w:val="24"/>
          <w:szCs w:val="24"/>
          <w:lang w:val="en-US" w:eastAsia="zh-CN" w:bidi="ar-SA"/>
        </w:rPr>
        <w:t>④</w:t>
      </w:r>
      <w:r>
        <w:rPr>
          <w:rFonts w:hint="eastAsia" w:ascii="仿宋_GB2312" w:hAnsi="黑体" w:eastAsia="仿宋_GB2312" w:cs="Times New Roman"/>
          <w:b/>
          <w:bCs w:val="0"/>
          <w:color w:val="auto"/>
          <w:kern w:val="2"/>
          <w:sz w:val="24"/>
          <w:szCs w:val="24"/>
          <w:lang w:val="en-US" w:eastAsia="zh-CN" w:bidi="ar-SA"/>
        </w:rPr>
        <w:t>差异化随机监督抽查任务数=相应类别单位数</w:t>
      </w:r>
      <w:r>
        <w:rPr>
          <w:rFonts w:hint="default" w:ascii="仿宋_GB2312" w:hAnsi="黑体" w:eastAsia="仿宋_GB2312" w:cs="Times New Roman"/>
          <w:b/>
          <w:bCs w:val="0"/>
          <w:color w:val="auto"/>
          <w:kern w:val="2"/>
          <w:sz w:val="24"/>
          <w:szCs w:val="24"/>
          <w:lang w:val="en-US" w:eastAsia="zh-CN" w:bidi="ar-SA"/>
        </w:rPr>
        <w:t>×</w:t>
      </w:r>
      <w:r>
        <w:rPr>
          <w:rFonts w:hint="eastAsia" w:ascii="仿宋_GB2312" w:hAnsi="黑体" w:eastAsia="仿宋_GB2312" w:cs="Times New Roman"/>
          <w:b/>
          <w:bCs w:val="0"/>
          <w:color w:val="auto"/>
          <w:kern w:val="2"/>
          <w:sz w:val="24"/>
          <w:szCs w:val="24"/>
          <w:lang w:val="en-US" w:eastAsia="zh-CN" w:bidi="ar-SA"/>
        </w:rPr>
        <w:t>随机任务抽查比例。</w:t>
      </w:r>
    </w:p>
    <w:p>
      <w:pPr>
        <w:ind w:firstLine="482" w:firstLineChars="200"/>
        <w:jc w:val="left"/>
        <w:outlineLvl w:val="0"/>
        <w:rPr>
          <w:rFonts w:hint="default" w:ascii="Times New Roman" w:hAnsi="Times New Roman" w:eastAsia="黑体" w:cs="Times New Roman"/>
          <w:color w:val="auto"/>
          <w:w w:val="98"/>
          <w:kern w:val="0"/>
          <w:sz w:val="32"/>
          <w:szCs w:val="32"/>
          <w:lang w:bidi="ar"/>
        </w:rPr>
      </w:pPr>
      <w:r>
        <w:rPr>
          <w:rFonts w:hint="eastAsia" w:ascii="仿宋_GB2312" w:hAnsi="黑体" w:eastAsia="仿宋_GB2312" w:cs="Times New Roman"/>
          <w:b/>
          <w:bCs w:val="0"/>
          <w:color w:val="auto"/>
          <w:kern w:val="2"/>
          <w:sz w:val="24"/>
          <w:szCs w:val="24"/>
          <w:lang w:val="en-US" w:eastAsia="zh-CN" w:bidi="ar-SA"/>
        </w:rPr>
        <w:t>⑤合计任务数等于各类别随机监督抽查任务数之和。</w:t>
      </w:r>
    </w:p>
    <w:p>
      <w:pPr>
        <w:jc w:val="center"/>
        <w:outlineLvl w:val="0"/>
        <w:rPr>
          <w:rFonts w:hint="default" w:ascii="Times New Roman" w:hAnsi="Times New Roman" w:eastAsia="方正小标宋简体" w:cs="Times New Roman"/>
          <w:bCs/>
          <w:color w:val="auto"/>
          <w:sz w:val="44"/>
        </w:rPr>
      </w:pPr>
    </w:p>
    <w:p>
      <w:pPr>
        <w:jc w:val="both"/>
        <w:outlineLvl w:val="0"/>
        <w:rPr>
          <w:rFonts w:hint="default" w:ascii="Times New Roman" w:hAnsi="Times New Roman" w:eastAsia="方正小标宋简体" w:cs="Times New Roman"/>
          <w:bCs/>
          <w:color w:val="auto"/>
          <w:sz w:val="44"/>
          <w:lang w:val="en-US" w:eastAsia="zh-CN"/>
        </w:rPr>
      </w:pPr>
      <w:r>
        <w:rPr>
          <w:rFonts w:hint="default" w:ascii="Times New Roman" w:hAnsi="Times New Roman" w:eastAsia="方正小标宋简体" w:cs="Times New Roman"/>
          <w:bCs/>
          <w:color w:val="auto"/>
          <w:sz w:val="44"/>
        </w:rPr>
        <w:br w:type="page"/>
      </w:r>
      <w:r>
        <w:rPr>
          <w:rFonts w:hint="default" w:eastAsia="黑体" w:cs="Times New Roman"/>
          <w:bCs w:val="0"/>
          <w:color w:val="auto"/>
          <w:sz w:val="32"/>
          <w:szCs w:val="32"/>
          <w:lang w:val="en-US" w:eastAsia="zh-CN"/>
        </w:rPr>
        <w:t>附表3</w:t>
      </w:r>
    </w:p>
    <w:p>
      <w:pPr>
        <w:jc w:val="center"/>
        <w:outlineLvl w:val="0"/>
        <w:rPr>
          <w:rFonts w:hint="default" w:ascii="Times New Roman" w:hAnsi="Times New Roman"/>
          <w:color w:val="auto"/>
          <w:sz w:val="32"/>
        </w:rPr>
      </w:pPr>
      <w:r>
        <w:rPr>
          <w:rFonts w:hint="default" w:ascii="Times New Roman" w:hAnsi="Times New Roman" w:eastAsia="方正小标宋简体" w:cs="Times New Roman"/>
          <w:bCs/>
          <w:color w:val="auto"/>
          <w:sz w:val="44"/>
        </w:rPr>
        <w:t>2025年用人单位职业卫生随机监督抽查汇总表</w:t>
      </w:r>
    </w:p>
    <w:tbl>
      <w:tblPr>
        <w:tblStyle w:val="6"/>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76"/>
        <w:gridCol w:w="948"/>
        <w:gridCol w:w="768"/>
        <w:gridCol w:w="660"/>
        <w:gridCol w:w="936"/>
        <w:gridCol w:w="876"/>
        <w:gridCol w:w="828"/>
        <w:gridCol w:w="833"/>
        <w:gridCol w:w="847"/>
        <w:gridCol w:w="864"/>
        <w:gridCol w:w="889"/>
        <w:gridCol w:w="1022"/>
        <w:gridCol w:w="837"/>
        <w:gridCol w:w="804"/>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检查</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对象</w:t>
            </w:r>
          </w:p>
        </w:tc>
        <w:tc>
          <w:tcPr>
            <w:tcW w:w="876" w:type="dxa"/>
            <w:vMerge w:val="restart"/>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辖区</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948" w:type="dxa"/>
            <w:vMerge w:val="restart"/>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抽查</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768" w:type="dxa"/>
            <w:vMerge w:val="restart"/>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不合格单位数</w:t>
            </w:r>
          </w:p>
        </w:tc>
        <w:tc>
          <w:tcPr>
            <w:tcW w:w="7755" w:type="dxa"/>
            <w:gridSpan w:val="9"/>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不合格情况</w:t>
            </w:r>
          </w:p>
        </w:tc>
        <w:tc>
          <w:tcPr>
            <w:tcW w:w="2472" w:type="dxa"/>
            <w:gridSpan w:val="3"/>
            <w:vMerge w:val="restart"/>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w:t>
            </w:r>
          </w:p>
        </w:tc>
        <w:tc>
          <w:tcPr>
            <w:tcW w:w="93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建设项目“三同时”</w:t>
            </w:r>
          </w:p>
        </w:tc>
        <w:tc>
          <w:tcPr>
            <w:tcW w:w="87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职业病危害项目申报</w:t>
            </w:r>
          </w:p>
        </w:tc>
        <w:tc>
          <w:tcPr>
            <w:tcW w:w="1661" w:type="dxa"/>
            <w:gridSpan w:val="2"/>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工作场所职业卫生管理</w:t>
            </w:r>
          </w:p>
        </w:tc>
        <w:tc>
          <w:tcPr>
            <w:tcW w:w="847"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w:t>
            </w:r>
          </w:p>
        </w:tc>
        <w:tc>
          <w:tcPr>
            <w:tcW w:w="864"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w:t>
            </w:r>
          </w:p>
        </w:tc>
        <w:tc>
          <w:tcPr>
            <w:tcW w:w="1911" w:type="dxa"/>
            <w:gridSpan w:val="2"/>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职业病病人和疑似职业病病人处置</w:t>
            </w:r>
          </w:p>
        </w:tc>
        <w:tc>
          <w:tcPr>
            <w:tcW w:w="2472" w:type="dxa"/>
            <w:gridSpan w:val="3"/>
            <w:vMerge w:val="continue"/>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职业卫生培训不合格单位数</w:t>
            </w:r>
          </w:p>
        </w:tc>
        <w:tc>
          <w:tcPr>
            <w:tcW w:w="93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建设项目职业病防护设施“三同时”不合格单位数</w:t>
            </w:r>
          </w:p>
        </w:tc>
        <w:tc>
          <w:tcPr>
            <w:tcW w:w="87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工作场所职业病危害项目申报不合格单位数</w:t>
            </w:r>
          </w:p>
        </w:tc>
        <w:tc>
          <w:tcPr>
            <w:tcW w:w="828"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工作场所职业病危害因素监测、检测、评价不合格单位数</w:t>
            </w:r>
          </w:p>
        </w:tc>
        <w:tc>
          <w:tcPr>
            <w:tcW w:w="833"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职业病防护设施、应急救援设施、防护用品不合格单位数</w:t>
            </w:r>
          </w:p>
        </w:tc>
        <w:tc>
          <w:tcPr>
            <w:tcW w:w="847"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职业病危害警示和告知不合格单位数</w:t>
            </w:r>
          </w:p>
        </w:tc>
        <w:tc>
          <w:tcPr>
            <w:tcW w:w="864"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劳动者职业健康监护、放射工作人员个人剂量监测不合格单位数</w:t>
            </w:r>
          </w:p>
        </w:tc>
        <w:tc>
          <w:tcPr>
            <w:tcW w:w="889"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职业病病人、疑似职业病病人处置不合格单位数</w:t>
            </w:r>
          </w:p>
        </w:tc>
        <w:tc>
          <w:tcPr>
            <w:tcW w:w="1022"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未为劳动者进行职业病诊断提供健康损害与职业史、职业病危害接触关系等相关资料单位数</w:t>
            </w:r>
          </w:p>
        </w:tc>
        <w:tc>
          <w:tcPr>
            <w:tcW w:w="837"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查处数</w:t>
            </w:r>
          </w:p>
        </w:tc>
        <w:tc>
          <w:tcPr>
            <w:tcW w:w="804"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警告</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831"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罚款</w:t>
            </w: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用人</w:t>
            </w:r>
          </w:p>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w:t>
            </w:r>
          </w:p>
        </w:tc>
        <w:tc>
          <w:tcPr>
            <w:tcW w:w="876"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3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28"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3"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47"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64"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89"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1022"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7"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04" w:type="dxa"/>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1" w:type="dxa"/>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r>
    </w:tbl>
    <w:p>
      <w:pPr>
        <w:jc w:val="left"/>
        <w:outlineLvl w:val="0"/>
        <w:rPr>
          <w:rFonts w:hint="default" w:ascii="Times New Roman" w:hAnsi="Times New Roman" w:eastAsia="黑体" w:cs="Times New Roman"/>
          <w:color w:val="auto"/>
          <w:kern w:val="0"/>
          <w:sz w:val="32"/>
          <w:szCs w:val="32"/>
          <w:lang w:bidi="ar"/>
        </w:rPr>
      </w:pPr>
    </w:p>
    <w:p>
      <w:pPr>
        <w:widowControl w:val="0"/>
        <w:spacing w:before="156" w:beforeLines="50" w:line="600" w:lineRule="exact"/>
        <w:jc w:val="left"/>
        <w:rPr>
          <w:rFonts w:hint="eastAsia" w:ascii="黑体" w:hAnsi="黑体" w:eastAsia="黑体" w:cs="黑体"/>
          <w:b w:val="0"/>
          <w:bCs w:val="0"/>
          <w:color w:val="auto"/>
          <w:w w:val="98"/>
          <w:kern w:val="0"/>
          <w:sz w:val="32"/>
          <w:szCs w:val="32"/>
          <w:lang w:val="en-US" w:eastAsia="zh-CN" w:bidi="ar"/>
        </w:rPr>
        <w:sectPr>
          <w:footerReference r:id="rId5" w:type="default"/>
          <w:pgSz w:w="16838" w:h="11906" w:orient="landscape"/>
          <w:pgMar w:top="1803" w:right="1440" w:bottom="1803" w:left="1440" w:header="992" w:footer="1332" w:gutter="0"/>
          <w:pgBorders w:offsetFrom="page">
            <w:top w:val="none" w:sz="0" w:space="0"/>
            <w:left w:val="none" w:sz="0" w:space="0"/>
            <w:bottom w:val="none" w:sz="0" w:space="0"/>
            <w:right w:val="none" w:sz="0" w:space="0"/>
          </w:pgBorders>
          <w:pgNumType w:fmt="numberInDash"/>
          <w:cols w:space="720" w:num="1"/>
          <w:rtlGutter w:val="0"/>
          <w:docGrid w:type="lines" w:linePitch="436" w:charSpace="0"/>
        </w:sectPr>
      </w:pPr>
    </w:p>
    <w:p>
      <w:pPr>
        <w:widowControl w:val="0"/>
        <w:spacing w:before="0" w:beforeLines="0" w:line="560" w:lineRule="exact"/>
        <w:jc w:val="left"/>
        <w:rPr>
          <w:rFonts w:hint="eastAsia" w:ascii="黑体" w:hAnsi="黑体" w:eastAsia="黑体" w:cs="黑体"/>
          <w:b w:val="0"/>
          <w:bCs w:val="0"/>
          <w:color w:val="auto"/>
          <w:w w:val="98"/>
          <w:kern w:val="0"/>
          <w:sz w:val="32"/>
          <w:szCs w:val="32"/>
          <w:lang w:val="en-US" w:eastAsia="zh-CN" w:bidi="ar"/>
        </w:rPr>
      </w:pPr>
      <w:r>
        <w:rPr>
          <w:rFonts w:hint="eastAsia" w:ascii="黑体" w:hAnsi="黑体" w:eastAsia="黑体" w:cs="黑体"/>
          <w:b w:val="0"/>
          <w:bCs w:val="0"/>
          <w:color w:val="auto"/>
          <w:w w:val="98"/>
          <w:kern w:val="0"/>
          <w:sz w:val="32"/>
          <w:szCs w:val="32"/>
          <w:lang w:val="en-US" w:eastAsia="zh-CN" w:bidi="ar"/>
        </w:rPr>
        <w:t>附表4</w:t>
      </w:r>
    </w:p>
    <w:p>
      <w:pPr>
        <w:widowControl w:val="0"/>
        <w:spacing w:before="0" w:beforeLines="0" w:line="560" w:lineRule="exact"/>
        <w:jc w:val="center"/>
        <w:rPr>
          <w:rFonts w:hint="eastAsia" w:ascii="方正小标宋简体" w:hAnsi="方正小标宋简体" w:eastAsia="方正小标宋简体" w:cs="方正小标宋简体"/>
          <w:color w:val="auto"/>
          <w:sz w:val="32"/>
          <w:szCs w:val="32"/>
          <w:lang w:val="en-US" w:eastAsia="zh-CN"/>
        </w:rPr>
      </w:pPr>
    </w:p>
    <w:p>
      <w:pPr>
        <w:widowControl w:val="0"/>
        <w:spacing w:before="0" w:beforeLines="0" w:line="24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用人单位随机监督抽查信息填报指引</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一、系统未建档的用人单位</w:t>
      </w:r>
    </w:p>
    <w:p>
      <w:pPr>
        <w:pStyle w:val="3"/>
        <w:numPr>
          <w:ilvl w:val="0"/>
          <w:numId w:val="0"/>
        </w:numPr>
        <w:spacing w:before="0" w:beforeLines="0" w:after="0" w:line="560" w:lineRule="exact"/>
        <w:ind w:firstLine="641"/>
        <w:jc w:val="both"/>
        <w:rPr>
          <w:rFonts w:hint="default"/>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随机监督抽查的用人单位未在省卫生健康综合监督执法信息系统建档的，应先建立被监督单位底档，再录入随机监督抽查信息。</w:t>
      </w:r>
    </w:p>
    <w:p>
      <w:pPr>
        <w:keepNext w:val="0"/>
        <w:keepLines w:val="0"/>
        <w:pageBreakBefore w:val="0"/>
        <w:widowControl w:val="0"/>
        <w:kinsoku/>
        <w:wordWrap/>
        <w:overflowPunct/>
        <w:topLinePunct w:val="0"/>
        <w:autoSpaceDE/>
        <w:autoSpaceDN/>
        <w:bidi w:val="0"/>
        <w:adjustRightInd/>
        <w:snapToGrid/>
        <w:spacing w:beforeLines="0"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二、系统已建档的用人单位</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（一）使用省卫生健康综合监督执法信息系统的单位，录入用人单位随机监督抽查信息时，可以选择</w:t>
      </w:r>
      <w:r>
        <w:rPr>
          <w:rFonts w:hint="default" w:ascii="Times New Roman" w:hAnsi="Times New Roman" w:eastAsia="仿宋_GB2312" w:cs="Times New Roman"/>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种方法录入。</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方法一：</w:t>
      </w:r>
      <w:r>
        <w:rPr>
          <w:rFonts w:hint="eastAsia" w:ascii="仿宋_GB2312" w:hAnsi="仿宋_GB2312" w:eastAsia="仿宋_GB2312" w:cs="仿宋_GB2312"/>
          <w:b w:val="0"/>
          <w:bCs w:val="0"/>
          <w:color w:val="auto"/>
          <w:kern w:val="2"/>
          <w:sz w:val="32"/>
          <w:szCs w:val="32"/>
          <w:lang w:val="en-US" w:eastAsia="zh-CN" w:bidi="ar-SA"/>
        </w:rPr>
        <w:t>从系统主页选择“日常监督”-“新增监督日志”-“任务类型”选择“专项监督”录入双随机任务监督情况。</w:t>
      </w:r>
    </w:p>
    <w:p>
      <w:pPr>
        <w:pStyle w:val="3"/>
        <w:spacing w:before="0" w:beforeLines="0" w:after="0"/>
        <w:jc w:val="both"/>
        <w:rPr>
          <w:rFonts w:hint="default"/>
          <w:color w:val="auto"/>
          <w:lang w:val="en-US" w:eastAsia="zh-CN"/>
        </w:rPr>
      </w:pPr>
      <w:r>
        <w:rPr>
          <w:color w:val="auto"/>
        </w:rPr>
        <w:drawing>
          <wp:inline distT="0" distB="0" distL="114300" distR="114300">
            <wp:extent cx="5266690" cy="1823085"/>
            <wp:effectExtent l="9525" t="9525" r="19685"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266690" cy="1823085"/>
                    </a:xfrm>
                    <a:prstGeom prst="rect">
                      <a:avLst/>
                    </a:prstGeom>
                    <a:noFill/>
                    <a:ln w="9525" cap="flat" cmpd="sng">
                      <a:solidFill>
                        <a:srgbClr val="000000"/>
                      </a:solidFill>
                      <a:prstDash val="solid"/>
                      <a:round/>
                      <a:headEnd type="none" w="med" len="med"/>
                      <a:tailEnd type="none" w="med" len="med"/>
                    </a:ln>
                  </pic:spPr>
                </pic:pic>
              </a:graphicData>
            </a:graphic>
          </wp:inline>
        </w:drawing>
      </w:r>
    </w:p>
    <w:p>
      <w:pPr>
        <w:spacing w:beforeLines="0"/>
        <w:rPr>
          <w:rFonts w:hint="default"/>
          <w:color w:val="auto"/>
          <w:lang w:val="en-US" w:eastAsia="zh-CN"/>
        </w:rPr>
      </w:pPr>
      <w:r>
        <w:rPr>
          <w:color w:val="auto"/>
        </w:rPr>
        <w:drawing>
          <wp:inline distT="0" distB="0" distL="114300" distR="114300">
            <wp:extent cx="5262880" cy="1049655"/>
            <wp:effectExtent l="9525" t="9525" r="23495" b="266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5262880" cy="1049655"/>
                    </a:xfrm>
                    <a:prstGeom prst="rect">
                      <a:avLst/>
                    </a:prstGeom>
                    <a:noFill/>
                    <a:ln w="9525" cap="flat" cmpd="sng">
                      <a:solidFill>
                        <a:srgbClr val="000000"/>
                      </a:solidFill>
                      <a:prstDash val="solid"/>
                      <a:round/>
                      <a:headEnd type="none" w="med" len="med"/>
                      <a:tailEnd type="none" w="med" len="med"/>
                    </a:ln>
                  </pic:spPr>
                </pic:pic>
              </a:graphicData>
            </a:graphic>
          </wp:inline>
        </w:drawing>
      </w:r>
    </w:p>
    <w:p>
      <w:pPr>
        <w:pStyle w:val="3"/>
        <w:spacing w:before="0" w:beforeLines="0" w:after="0"/>
        <w:rPr>
          <w:rFonts w:hint="default"/>
          <w:color w:val="auto"/>
          <w:lang w:val="en-US" w:eastAsia="zh-CN"/>
        </w:rPr>
      </w:pPr>
      <w:r>
        <w:rPr>
          <w:color w:val="auto"/>
        </w:rPr>
        <w:drawing>
          <wp:inline distT="0" distB="0" distL="114300" distR="114300">
            <wp:extent cx="5259070" cy="1101090"/>
            <wp:effectExtent l="9525" t="9525" r="27305" b="133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5259070" cy="1101090"/>
                    </a:xfrm>
                    <a:prstGeom prst="rect">
                      <a:avLst/>
                    </a:prstGeom>
                    <a:noFill/>
                    <a:ln w="9525" cap="flat" cmpd="sng">
                      <a:solidFill>
                        <a:srgbClr val="000000"/>
                      </a:solidFill>
                      <a:prstDash val="solid"/>
                      <a:round/>
                      <a:headEnd type="none" w="med" len="med"/>
                      <a:tailEnd type="none" w="med" len="med"/>
                    </a:ln>
                  </pic:spPr>
                </pic:pic>
              </a:graphicData>
            </a:graphic>
          </wp:inline>
        </w:drawing>
      </w:r>
    </w:p>
    <w:p>
      <w:pPr>
        <w:pStyle w:val="3"/>
        <w:keepNext w:val="0"/>
        <w:keepLines w:val="0"/>
        <w:pageBreakBefore w:val="0"/>
        <w:widowControl w:val="0"/>
        <w:kinsoku/>
        <w:wordWrap/>
        <w:overflowPunct/>
        <w:topLinePunct w:val="0"/>
        <w:autoSpaceDE/>
        <w:autoSpaceDN/>
        <w:bidi w:val="0"/>
        <w:adjustRightInd/>
        <w:snapToGrid/>
        <w:spacing w:before="0" w:beforeLines="0" w:after="0"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方法二：</w:t>
      </w:r>
    </w:p>
    <w:p>
      <w:pPr>
        <w:spacing w:beforeLines="0" w:line="56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从系统主页选择“基础业务”-“监督监测”-“日常监督”-新增监督日志”-“任务类型”选择“专项监督”录入双随机任务监督情况。</w:t>
      </w:r>
    </w:p>
    <w:p>
      <w:pPr>
        <w:pStyle w:val="3"/>
        <w:spacing w:before="0" w:beforeLines="0" w:after="0"/>
        <w:ind w:firstLine="640"/>
        <w:rPr>
          <w:rFonts w:hint="default"/>
          <w:color w:val="auto"/>
          <w:lang w:val="en-US" w:eastAsia="zh-CN"/>
        </w:rPr>
      </w:pPr>
    </w:p>
    <w:p>
      <w:pPr>
        <w:spacing w:beforeLines="0"/>
        <w:rPr>
          <w:rFonts w:hint="default"/>
          <w:color w:val="auto"/>
          <w:lang w:val="en-US" w:eastAsia="zh-CN"/>
        </w:rPr>
      </w:pPr>
      <w:r>
        <w:rPr>
          <w:color w:val="auto"/>
        </w:rPr>
        <w:drawing>
          <wp:inline distT="0" distB="0" distL="114300" distR="114300">
            <wp:extent cx="5266690" cy="1826895"/>
            <wp:effectExtent l="9525" t="9525" r="19685" b="1143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0"/>
                    <a:stretch>
                      <a:fillRect/>
                    </a:stretch>
                  </pic:blipFill>
                  <pic:spPr>
                    <a:xfrm>
                      <a:off x="0" y="0"/>
                      <a:ext cx="5266690" cy="1826895"/>
                    </a:xfrm>
                    <a:prstGeom prst="rect">
                      <a:avLst/>
                    </a:prstGeom>
                    <a:noFill/>
                    <a:ln w="9525" cap="flat" cmpd="sng">
                      <a:solidFill>
                        <a:srgbClr val="000000"/>
                      </a:solidFill>
                      <a:prstDash val="solid"/>
                      <a:round/>
                      <a:headEnd type="none" w="med" len="med"/>
                      <a:tailEnd type="none" w="med" len="med"/>
                    </a:ln>
                  </pic:spPr>
                </pic:pic>
              </a:graphicData>
            </a:graphic>
          </wp:inline>
        </w:drawing>
      </w:r>
    </w:p>
    <w:p>
      <w:pPr>
        <w:pStyle w:val="3"/>
        <w:spacing w:before="0" w:beforeLines="0" w:after="0"/>
        <w:rPr>
          <w:rFonts w:hint="default"/>
          <w:color w:val="auto"/>
          <w:lang w:val="en-US" w:eastAsia="zh-CN"/>
        </w:rPr>
      </w:pPr>
      <w:r>
        <w:rPr>
          <w:color w:val="auto"/>
        </w:rPr>
        <w:drawing>
          <wp:inline distT="0" distB="0" distL="114300" distR="114300">
            <wp:extent cx="5267325" cy="2380615"/>
            <wp:effectExtent l="9525" t="9525" r="19050" b="1016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5267325" cy="2380615"/>
                    </a:xfrm>
                    <a:prstGeom prst="rect">
                      <a:avLst/>
                    </a:prstGeom>
                    <a:noFill/>
                    <a:ln w="9525" cap="flat" cmpd="sng">
                      <a:solidFill>
                        <a:srgbClr val="000000"/>
                      </a:solidFill>
                      <a:prstDash val="solid"/>
                      <a:round/>
                      <a:headEnd type="none" w="med" len="med"/>
                      <a:tailEnd type="none" w="med" len="med"/>
                    </a:ln>
                  </pic:spPr>
                </pic:pic>
              </a:graphicData>
            </a:graphic>
          </wp:inline>
        </w:drawing>
      </w:r>
    </w:p>
    <w:p>
      <w:pPr>
        <w:spacing w:beforeLines="0"/>
        <w:rPr>
          <w:rFonts w:hint="default"/>
          <w:color w:val="auto"/>
          <w:lang w:val="en-US" w:eastAsia="zh-CN"/>
        </w:rPr>
      </w:pPr>
      <w:r>
        <w:rPr>
          <w:color w:val="auto"/>
        </w:rPr>
        <w:drawing>
          <wp:inline distT="0" distB="0" distL="114300" distR="114300">
            <wp:extent cx="5259070" cy="1101090"/>
            <wp:effectExtent l="9525" t="9525" r="27305" b="1333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stretch>
                      <a:fillRect/>
                    </a:stretch>
                  </pic:blipFill>
                  <pic:spPr>
                    <a:xfrm>
                      <a:off x="0" y="0"/>
                      <a:ext cx="5259070" cy="1101090"/>
                    </a:xfrm>
                    <a:prstGeom prst="rect">
                      <a:avLst/>
                    </a:prstGeom>
                    <a:noFill/>
                    <a:ln w="9525" cap="flat" cmpd="sng">
                      <a:solidFill>
                        <a:srgbClr val="000000"/>
                      </a:solidFill>
                      <a:prstDash val="solid"/>
                      <a:round/>
                      <a:headEnd type="none" w="med" len="med"/>
                      <a:tailEnd type="none" w="med" len="med"/>
                    </a:ln>
                  </pic:spPr>
                </pic:pic>
              </a:graphicData>
            </a:graphic>
          </wp:inline>
        </w:drawing>
      </w:r>
    </w:p>
    <w:p>
      <w:pPr>
        <w:pStyle w:val="3"/>
        <w:spacing w:before="0" w:beforeLines="0" w:after="0"/>
        <w:rPr>
          <w:rFonts w:hint="default"/>
          <w:color w:val="auto"/>
          <w:lang w:val="en-US" w:eastAsia="zh-CN"/>
        </w:rPr>
      </w:pPr>
    </w:p>
    <w:p>
      <w:pPr>
        <w:spacing w:beforeLines="0" w:line="560" w:lineRule="exact"/>
        <w:ind w:firstLine="640" w:firstLineChars="200"/>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（二）不使用省卫生健康综合监督执法信息系统的单位，请按对应的数据交换标准填报信息，确保信息报告无误。</w:t>
      </w:r>
    </w:p>
    <w:p>
      <w:pPr>
        <w:spacing w:line="240" w:lineRule="auto"/>
        <w:jc w:val="left"/>
        <w:outlineLvl w:val="0"/>
        <w:rPr>
          <w:rFonts w:hint="default" w:ascii="Times New Roman" w:hAnsi="Times New Roman" w:eastAsia="黑体" w:cs="Times New Roman"/>
          <w:color w:val="auto"/>
          <w:sz w:val="32"/>
          <w:szCs w:val="32"/>
        </w:rPr>
        <w:sectPr>
          <w:pgSz w:w="11906" w:h="16838"/>
          <w:pgMar w:top="2041" w:right="1531" w:bottom="2041" w:left="1531" w:header="992" w:footer="1332" w:gutter="0"/>
          <w:pgBorders w:offsetFrom="page">
            <w:top w:val="none" w:sz="0" w:space="0"/>
            <w:left w:val="none" w:sz="0" w:space="0"/>
            <w:bottom w:val="none" w:sz="0" w:space="0"/>
            <w:right w:val="none" w:sz="0" w:space="0"/>
          </w:pgBorders>
          <w:pgNumType w:fmt="numberInDash"/>
          <w:cols w:space="720" w:num="1"/>
          <w:rtlGutter w:val="0"/>
          <w:docGrid w:type="lines" w:linePitch="436" w:charSpace="0"/>
        </w:sectPr>
      </w:pPr>
    </w:p>
    <w:p>
      <w:pPr>
        <w:spacing w:line="240" w:lineRule="auto"/>
        <w:jc w:val="left"/>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5</w:t>
      </w:r>
    </w:p>
    <w:p>
      <w:pPr>
        <w:jc w:val="center"/>
        <w:outlineLvl w:val="0"/>
        <w:rPr>
          <w:rFonts w:hint="default" w:ascii="Times New Roman" w:hAnsi="Times New Roman"/>
          <w:color w:val="auto"/>
          <w:sz w:val="44"/>
        </w:rPr>
      </w:pPr>
      <w:r>
        <w:rPr>
          <w:rFonts w:hint="default" w:ascii="Times New Roman" w:hAnsi="Times New Roman" w:eastAsia="方正小标宋简体" w:cs="Times New Roman"/>
          <w:bCs/>
          <w:color w:val="auto"/>
          <w:sz w:val="44"/>
        </w:rPr>
        <w:t>2025年职业卫生和放射卫生技术服务机构随机监督抽查计划表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9"/>
        <w:gridCol w:w="2095"/>
        <w:gridCol w:w="1418"/>
        <w:gridCol w:w="8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974" w:type="dxa"/>
            <w:gridSpan w:val="2"/>
            <w:tcBorders>
              <w:top w:val="single" w:color="000000" w:sz="4" w:space="0"/>
              <w:left w:val="single" w:color="000000" w:sz="4" w:space="0"/>
              <w:bottom w:val="single" w:color="000000" w:sz="4" w:space="0"/>
            </w:tcBorders>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职业卫生和放射卫生技术服务机构</w:t>
            </w:r>
          </w:p>
        </w:tc>
        <w:tc>
          <w:tcPr>
            <w:tcW w:w="2260"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辖区内注册的职业卫生和放射卫生技术服务机构</w:t>
            </w: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0%开展监督检查</w:t>
            </w:r>
          </w:p>
        </w:tc>
        <w:tc>
          <w:tcPr>
            <w:tcW w:w="1528"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1.资质证书</w:t>
            </w:r>
          </w:p>
        </w:tc>
        <w:tc>
          <w:tcPr>
            <w:tcW w:w="9446"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1.是否未取得职业卫生或放射卫生技术服务资质认可擅自从事职业卫生或放射卫生检测、评价技术服务；</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2.是否有涂改、倒卖、出租、出借技术服务机构资质证书，或者以其他形式非法转让技术服务机构资质证书情形。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2.业务范围</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及出具证明</w:t>
            </w:r>
          </w:p>
        </w:tc>
        <w:tc>
          <w:tcPr>
            <w:tcW w:w="9446"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1.是否超出资质认可范围从事职业卫生或放射卫生技术服务；</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2.是否出具虚假的职业卫生或放射卫生技术报告或其他虚假证明文件。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2.是否存在具备自行检测条件而委托其他机构检测的情形，是否存在委托检测的机构不具备技术服务机构资质</w:t>
            </w:r>
            <w:r>
              <w:rPr>
                <w:rFonts w:hint="default" w:ascii="Times New Roman" w:hAnsi="Times New Roman" w:eastAsia="仿宋_GB2312" w:cs="Times New Roman"/>
                <w:bCs/>
                <w:color w:val="auto"/>
                <w:szCs w:val="21"/>
                <w:lang w:eastAsia="zh-CN"/>
              </w:rPr>
              <w:t>或</w:t>
            </w:r>
            <w:r>
              <w:rPr>
                <w:rFonts w:hint="default" w:ascii="Times New Roman" w:hAnsi="Times New Roman" w:eastAsia="仿宋_GB2312" w:cs="Times New Roman"/>
                <w:bCs/>
                <w:color w:val="auto"/>
                <w:szCs w:val="21"/>
              </w:rPr>
              <w:t>相应检测能力的情形，是否存在委托其他机构实施样品现场采集和检测结果分析及应用等工作的情形；</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3.是否以书面形式与用人单位明确技术服务内容、范围以及双方的</w:t>
            </w:r>
            <w:r>
              <w:rPr>
                <w:rFonts w:hint="default" w:ascii="Times New Roman" w:hAnsi="Times New Roman" w:eastAsia="仿宋_GB2312" w:cs="Times New Roman"/>
                <w:bCs/>
                <w:color w:val="auto"/>
                <w:szCs w:val="21"/>
                <w:lang w:eastAsia="zh-CN"/>
              </w:rPr>
              <w:t>权利义务</w:t>
            </w:r>
            <w:r>
              <w:rPr>
                <w:rFonts w:hint="default" w:ascii="Times New Roman" w:hAnsi="Times New Roman" w:eastAsia="仿宋_GB2312" w:cs="Times New Roman"/>
                <w:bCs/>
                <w:color w:val="auto"/>
                <w:szCs w:val="21"/>
              </w:rPr>
              <w:t>；</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4.是否转包职业卫生或放射卫生技术服务项目；</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5.是否擅自更改、简化技术服务程序和相关内容；</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6.是否按规定在网上公开职业卫生或放射卫生技术报告相关信息；</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7.是否按规定向卫生健康主管部门报送职业卫生或放射卫生技术服务相关信息。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1.是否使用非本机构专业技术人员从事职业卫生或放射卫生技术服务活动；</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2.是否安排未达到技术评审考核评估要求的专业技术人员参与职业卫生服务；</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3.是否在职业卫生或放射卫生技术服务报告或者有关原始记录上代替他人签字；</w:t>
            </w:r>
          </w:p>
          <w:p>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4.是否未参与相应技术服务事项而在技术报告或者有关原始记录上签字。</w:t>
            </w:r>
          </w:p>
        </w:tc>
      </w:tr>
    </w:tbl>
    <w:p>
      <w:pPr>
        <w:spacing w:line="590" w:lineRule="exact"/>
        <w:rPr>
          <w:rFonts w:hint="default" w:ascii="Times New Roman" w:hAnsi="Times New Roman" w:eastAsia="黑体" w:cs="Times New Roman"/>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default" w:ascii="Times New Roman" w:hAnsi="Times New Roman" w:eastAsia="黑体" w:cs="Times New Roman"/>
          <w:color w:val="auto"/>
          <w:sz w:val="32"/>
          <w:szCs w:val="32"/>
          <w:lang w:eastAsia="zh-CN"/>
        </w:rPr>
      </w:pPr>
      <w:bookmarkStart w:id="0" w:name="_GoBack"/>
      <w:bookmarkEnd w:id="0"/>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6</w:t>
      </w:r>
    </w:p>
    <w:p>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 xml:space="preserve">2025年职业卫生和放射卫生技术服务机构随机监督抽查汇总表 </w:t>
      </w:r>
    </w:p>
    <w:tbl>
      <w:tblPr>
        <w:tblStyle w:val="6"/>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504"/>
        <w:gridCol w:w="499"/>
        <w:gridCol w:w="633"/>
        <w:gridCol w:w="1158"/>
        <w:gridCol w:w="1680"/>
        <w:gridCol w:w="1166"/>
        <w:gridCol w:w="966"/>
        <w:gridCol w:w="1145"/>
        <w:gridCol w:w="1316"/>
        <w:gridCol w:w="907"/>
        <w:gridCol w:w="799"/>
        <w:gridCol w:w="855"/>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0" w:type="pct"/>
            <w:vMerge w:val="restart"/>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监督检查对象</w:t>
            </w:r>
          </w:p>
        </w:tc>
        <w:tc>
          <w:tcPr>
            <w:tcW w:w="19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区</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189" w:type="pct"/>
            <w:vMerge w:val="restar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查</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240" w:type="pct"/>
            <w:vMerge w:val="restart"/>
            <w:tcBorders>
              <w:top w:val="single" w:color="auto" w:sz="4" w:space="0"/>
              <w:left w:val="nil"/>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不合格单位数</w:t>
            </w:r>
          </w:p>
        </w:tc>
        <w:tc>
          <w:tcPr>
            <w:tcW w:w="2817" w:type="pct"/>
            <w:gridSpan w:val="6"/>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不合格情况</w:t>
            </w:r>
          </w:p>
        </w:tc>
        <w:tc>
          <w:tcPr>
            <w:tcW w:w="1260" w:type="pct"/>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0" w:type="pct"/>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19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189" w:type="pct"/>
            <w:vMerge w:val="continue"/>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240" w:type="pct"/>
            <w:vMerge w:val="continue"/>
            <w:tcBorders>
              <w:left w:val="nil"/>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1076" w:type="pct"/>
            <w:gridSpan w:val="2"/>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资质证书</w:t>
            </w:r>
          </w:p>
        </w:tc>
        <w:tc>
          <w:tcPr>
            <w:tcW w:w="1741" w:type="pct"/>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技术服务规范性</w:t>
            </w:r>
          </w:p>
        </w:tc>
        <w:tc>
          <w:tcPr>
            <w:tcW w:w="344" w:type="pct"/>
            <w:vMerge w:val="restart"/>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案件查处数</w:t>
            </w:r>
          </w:p>
        </w:tc>
        <w:tc>
          <w:tcPr>
            <w:tcW w:w="303" w:type="pct"/>
            <w:vMerge w:val="restart"/>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警告</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单位数</w:t>
            </w:r>
          </w:p>
        </w:tc>
        <w:tc>
          <w:tcPr>
            <w:tcW w:w="324" w:type="pct"/>
            <w:vMerge w:val="restart"/>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罚款</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c>
          <w:tcPr>
            <w:tcW w:w="289" w:type="pct"/>
            <w:vMerge w:val="restart"/>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没收</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违法</w:t>
            </w:r>
          </w:p>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所得</w:t>
            </w:r>
          </w:p>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0"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19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189" w:type="pct"/>
            <w:vMerge w:val="continue"/>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32"/>
              </w:rPr>
            </w:pPr>
          </w:p>
        </w:tc>
        <w:tc>
          <w:tcPr>
            <w:tcW w:w="240" w:type="pct"/>
            <w:vMerge w:val="continue"/>
            <w:tcBorders>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p>
        </w:tc>
        <w:tc>
          <w:tcPr>
            <w:tcW w:w="439" w:type="pc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无资质擅自从事检测、评价服务单位数</w:t>
            </w:r>
          </w:p>
        </w:tc>
        <w:tc>
          <w:tcPr>
            <w:tcW w:w="637" w:type="pct"/>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Cs w:val="21"/>
                <w:lang w:bidi="ar"/>
              </w:rPr>
              <w:t>涂改、倒卖、出租、出借或其他形式非法转让资质证书单位数</w:t>
            </w:r>
          </w:p>
        </w:tc>
        <w:tc>
          <w:tcPr>
            <w:tcW w:w="442" w:type="pc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超出资质认可范围从事技术服务单位数</w:t>
            </w:r>
          </w:p>
        </w:tc>
        <w:tc>
          <w:tcPr>
            <w:tcW w:w="366"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出具虚假证明文件单位数</w:t>
            </w:r>
          </w:p>
        </w:tc>
        <w:tc>
          <w:tcPr>
            <w:tcW w:w="434"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不符合技术服务相关工作要求单位数</w:t>
            </w:r>
          </w:p>
        </w:tc>
        <w:tc>
          <w:tcPr>
            <w:tcW w:w="498"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不符合专业技术人员管理要求单位数</w:t>
            </w:r>
          </w:p>
        </w:tc>
        <w:tc>
          <w:tcPr>
            <w:tcW w:w="344" w:type="pct"/>
            <w:vMerge w:val="continue"/>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vMerge w:val="continue"/>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vMerge w:val="continue"/>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9" w:type="pct"/>
            <w:vMerge w:val="continue"/>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职业卫生技术服务机构</w:t>
            </w:r>
          </w:p>
        </w:tc>
        <w:tc>
          <w:tcPr>
            <w:tcW w:w="1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sz w:val="32"/>
              </w:rPr>
            </w:pPr>
          </w:p>
        </w:tc>
        <w:tc>
          <w:tcPr>
            <w:tcW w:w="189"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40"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9"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637"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42"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66"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98"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4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9"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放射卫生技术服务机构</w:t>
            </w:r>
          </w:p>
        </w:tc>
        <w:tc>
          <w:tcPr>
            <w:tcW w:w="1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sz w:val="32"/>
              </w:rPr>
            </w:pPr>
          </w:p>
        </w:tc>
        <w:tc>
          <w:tcPr>
            <w:tcW w:w="189"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40"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9"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637"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42"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66"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98"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4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9" w:type="pct"/>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bl>
    <w:p>
      <w:pPr>
        <w:widowControl/>
        <w:spacing w:line="360" w:lineRule="auto"/>
        <w:jc w:val="left"/>
        <w:rPr>
          <w:rFonts w:hint="default" w:ascii="Times New Roman" w:hAnsi="Times New Roman" w:eastAsia="黑体"/>
          <w:color w:val="auto"/>
          <w:sz w:val="32"/>
          <w:szCs w:val="22"/>
        </w:rPr>
      </w:pPr>
    </w:p>
    <w:p>
      <w:pPr>
        <w:pStyle w:val="3"/>
        <w:rPr>
          <w:rFonts w:hint="default" w:ascii="Cambria" w:hAnsi="Cambria" w:eastAsia="宋体"/>
          <w:color w:val="auto"/>
          <w:sz w:val="21"/>
          <w:szCs w:val="32"/>
        </w:rPr>
      </w:pPr>
    </w:p>
    <w:p>
      <w:pPr>
        <w:spacing w:line="590" w:lineRule="exact"/>
        <w:rPr>
          <w:rFonts w:hint="default" w:ascii="Times New Roman" w:hAnsi="Times New Roman" w:eastAsia="黑体" w:cs="Times New Roman"/>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7</w:t>
      </w:r>
    </w:p>
    <w:p>
      <w:pPr>
        <w:pStyle w:val="3"/>
        <w:rPr>
          <w:rFonts w:hint="default" w:ascii="Cambria" w:hAnsi="Cambria" w:eastAsia="宋体" w:cs="Times New Roman"/>
          <w:color w:val="auto"/>
          <w:sz w:val="21"/>
          <w:szCs w:val="32"/>
          <w:lang w:eastAsia="zh-CN"/>
        </w:rPr>
      </w:pPr>
    </w:p>
    <w:p>
      <w:pPr>
        <w:spacing w:line="360" w:lineRule="auto"/>
        <w:jc w:val="center"/>
        <w:rPr>
          <w:rFonts w:hint="default" w:ascii="Times New Roman" w:hAnsi="Times New Roman"/>
          <w:b/>
          <w:color w:val="auto"/>
          <w:spacing w:val="-20"/>
          <w:sz w:val="44"/>
          <w:szCs w:val="22"/>
        </w:rPr>
      </w:pPr>
      <w:r>
        <w:rPr>
          <w:rFonts w:hint="default" w:ascii="Times New Roman" w:hAnsi="Times New Roman" w:eastAsia="方正小标宋简体" w:cs="Times New Roman"/>
          <w:bCs/>
          <w:color w:val="auto"/>
          <w:sz w:val="44"/>
        </w:rPr>
        <w:t>2</w:t>
      </w:r>
      <w:r>
        <w:rPr>
          <w:rFonts w:hint="default" w:ascii="Times New Roman" w:hAnsi="Times New Roman" w:eastAsia="方正小标宋简体" w:cs="Times New Roman"/>
          <w:bCs/>
          <w:color w:val="auto"/>
          <w:w w:val="95"/>
          <w:sz w:val="44"/>
        </w:rPr>
        <w:t>025年</w:t>
      </w:r>
      <w:r>
        <w:rPr>
          <w:rFonts w:hint="default" w:ascii="Times New Roman" w:hAnsi="Times New Roman" w:eastAsia="方正小标宋简体" w:cs="Times New Roman"/>
          <w:bCs/>
          <w:color w:val="auto"/>
          <w:spacing w:val="-20"/>
          <w:w w:val="95"/>
          <w:sz w:val="44"/>
          <w:szCs w:val="22"/>
        </w:rPr>
        <w:t>放射诊疗、职业健康检查、职业病诊断机构随机监督抽查工作计划</w:t>
      </w:r>
      <w:r>
        <w:rPr>
          <w:rFonts w:hint="default" w:ascii="Times New Roman" w:hAnsi="Times New Roman" w:eastAsia="方正小标宋简体" w:cs="Times New Roman"/>
          <w:bCs/>
          <w:color w:val="auto"/>
          <w:spacing w:val="-20"/>
          <w:sz w:val="44"/>
          <w:szCs w:val="22"/>
        </w:rPr>
        <w:t>表</w:t>
      </w:r>
    </w:p>
    <w:tbl>
      <w:tblPr>
        <w:tblStyle w:val="6"/>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监督检查对象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抽检</w:t>
            </w:r>
          </w:p>
          <w:p>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比例</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检查内容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放射诊疗机构</w:t>
            </w:r>
          </w:p>
          <w:p>
            <w:pPr>
              <w:jc w:val="center"/>
              <w:rPr>
                <w:rFonts w:hint="default" w:ascii="Times New Roman" w:hAnsi="Times New Roman" w:eastAsia="仿宋_GB2312" w:cs="Times New Roman"/>
                <w:color w:val="auto"/>
                <w:szCs w:val="22"/>
              </w:rPr>
            </w:pPr>
            <w:r>
              <w:rPr>
                <w:rFonts w:hint="default" w:eastAsia="仿宋_GB2312" w:cs="Times New Roman"/>
                <w:color w:val="auto"/>
                <w:szCs w:val="22"/>
                <w:lang w:val="en-US"/>
              </w:rPr>
              <w:t>（</w:t>
            </w:r>
            <w:r>
              <w:rPr>
                <w:rFonts w:hint="default" w:ascii="Times New Roman" w:hAnsi="Times New Roman" w:eastAsia="仿宋_GB2312" w:cs="Times New Roman"/>
                <w:color w:val="auto"/>
                <w:szCs w:val="22"/>
              </w:rPr>
              <w:t>含中医医疗机构</w:t>
            </w:r>
            <w:r>
              <w:rPr>
                <w:rFonts w:hint="default" w:eastAsia="仿宋_GB2312" w:cs="Times New Roman"/>
                <w:color w:val="auto"/>
                <w:szCs w:val="22"/>
                <w:lang w:val="en-US"/>
              </w:rPr>
              <w:t>）</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ascii="Times New Roman" w:hAnsi="Times New Roman" w:eastAsia="仿宋_GB2312" w:cs="Times New Roman"/>
                <w:color w:val="auto"/>
                <w:szCs w:val="22"/>
              </w:rPr>
              <w:t>20</w:t>
            </w:r>
            <w:r>
              <w:rPr>
                <w:rFonts w:hint="default" w:ascii="Times New Roman" w:hAnsi="Times New Roman" w:eastAsia="仿宋_GB2312" w:cs="Times New Roman"/>
                <w:color w:val="auto"/>
                <w:szCs w:val="22"/>
              </w:rPr>
              <w:t>%</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tabs>
                <w:tab w:val="left" w:pos="312"/>
              </w:tabs>
              <w:rPr>
                <w:rFonts w:hint="default" w:ascii="Times New Roman" w:hAnsi="Times New Roman" w:eastAsia="仿宋_GB2312" w:cs="Times New Roman"/>
                <w:color w:val="auto"/>
                <w:szCs w:val="22"/>
              </w:rPr>
            </w:pPr>
            <w:r>
              <w:rPr>
                <w:rFonts w:hint="default" w:eastAsia="仿宋_GB2312" w:cs="Times New Roman"/>
                <w:color w:val="auto"/>
                <w:szCs w:val="22"/>
                <w:lang w:val="en-US" w:eastAsia="zh-CN"/>
              </w:rPr>
              <w:t>1.</w:t>
            </w:r>
            <w:r>
              <w:rPr>
                <w:rFonts w:hint="default" w:ascii="Times New Roman" w:hAnsi="Times New Roman" w:eastAsia="仿宋_GB2312" w:cs="Times New Roman"/>
                <w:color w:val="auto"/>
                <w:szCs w:val="22"/>
                <w:lang w:eastAsia="zh-CN"/>
              </w:rPr>
              <w:t>放射诊疗</w:t>
            </w:r>
            <w:r>
              <w:rPr>
                <w:rFonts w:hint="default" w:ascii="Times New Roman" w:hAnsi="Times New Roman" w:eastAsia="仿宋_GB2312" w:cs="Times New Roman"/>
                <w:color w:val="auto"/>
                <w:szCs w:val="22"/>
              </w:rPr>
              <w:t>建设项目管理情况；2.放射诊疗场所管理及其防护措施情况；3.放射诊疗设备管理情况；4.放射工作人员</w:t>
            </w:r>
            <w:r>
              <w:rPr>
                <w:rFonts w:hint="default" w:ascii="Times New Roman" w:hAnsi="Times New Roman" w:eastAsia="仿宋_GB2312" w:cs="Times New Roman"/>
                <w:color w:val="auto"/>
                <w:szCs w:val="22"/>
                <w:lang w:eastAsia="zh-CN"/>
              </w:rPr>
              <w:t>健康</w:t>
            </w:r>
            <w:r>
              <w:rPr>
                <w:rFonts w:hint="default" w:ascii="Times New Roman" w:hAnsi="Times New Roman" w:eastAsia="仿宋_GB2312" w:cs="Times New Roman"/>
                <w:color w:val="auto"/>
                <w:szCs w:val="22"/>
              </w:rPr>
              <w:t>管理情况；5.开展放射诊疗人员条件管理情况；6.对患者、受检者及其他非放射工作人员的保护情况；7.放射事件预防处置情况；8.</w:t>
            </w:r>
            <w:r>
              <w:rPr>
                <w:rFonts w:hint="default" w:ascii="Times New Roman" w:hAnsi="Times New Roman" w:eastAsia="仿宋_GB2312" w:cs="Times New Roman"/>
                <w:color w:val="auto"/>
                <w:szCs w:val="22"/>
                <w:lang w:eastAsia="zh-CN"/>
              </w:rPr>
              <w:t>疑似职业病和</w:t>
            </w:r>
            <w:r>
              <w:rPr>
                <w:rFonts w:hint="default" w:ascii="Times New Roman" w:hAnsi="Times New Roman" w:eastAsia="仿宋_GB2312" w:cs="Times New Roman"/>
                <w:color w:val="auto"/>
                <w:szCs w:val="22"/>
              </w:rPr>
              <w:t>职业病人</w:t>
            </w:r>
            <w:r>
              <w:rPr>
                <w:rFonts w:hint="default" w:ascii="Times New Roman" w:hAnsi="Times New Roman" w:eastAsia="仿宋_GB2312" w:cs="Times New Roman"/>
                <w:color w:val="auto"/>
                <w:szCs w:val="22"/>
                <w:lang w:eastAsia="zh-CN"/>
              </w:rPr>
              <w:t>处置</w:t>
            </w:r>
            <w:r>
              <w:rPr>
                <w:rFonts w:hint="default" w:ascii="Times New Roman" w:hAnsi="Times New Roman" w:eastAsia="仿宋_GB2312" w:cs="Times New Roman"/>
                <w:color w:val="auto"/>
                <w:szCs w:val="22"/>
              </w:rPr>
              <w:t>情况；9.档案管理与体系建设情况；10.X射线诊断管理情况；11.介入放射诊疗管理情况；12.核医学诊疗管理情况；13.放射治疗管理情况。</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职业健康检查机构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hint="default" w:ascii="Times New Roman" w:hAnsi="Times New Roman" w:eastAsia="仿宋_GB2312" w:cs="Times New Roman"/>
                <w:color w:val="auto"/>
                <w:szCs w:val="22"/>
                <w:lang w:eastAsia="zh-CN"/>
              </w:rPr>
              <w:t>；10.是否按照规定参加质量控制评估，若质量控制评估不合格是否按要求整改。</w:t>
            </w:r>
          </w:p>
        </w:tc>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职业病诊断机构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p>
        </w:tc>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Cs w:val="22"/>
              </w:rPr>
            </w:pPr>
          </w:p>
        </w:tc>
      </w:tr>
    </w:tbl>
    <w:p>
      <w:pPr>
        <w:widowControl/>
        <w:spacing w:line="360" w:lineRule="auto"/>
        <w:jc w:val="left"/>
        <w:rPr>
          <w:rFonts w:hint="default" w:ascii="Times New Roman" w:hAnsi="Times New Roman" w:eastAsia="黑体"/>
          <w:color w:val="auto"/>
          <w:sz w:val="32"/>
          <w:szCs w:val="22"/>
        </w:rPr>
      </w:pPr>
    </w:p>
    <w:p>
      <w:pPr>
        <w:widowControl/>
        <w:spacing w:line="360" w:lineRule="auto"/>
        <w:jc w:val="left"/>
        <w:rPr>
          <w:rFonts w:hint="default" w:ascii="Times New Roman" w:hAnsi="Times New Roman" w:eastAsia="黑体"/>
          <w:color w:val="auto"/>
          <w:sz w:val="32"/>
          <w:szCs w:val="22"/>
        </w:rPr>
      </w:pPr>
    </w:p>
    <w:p>
      <w:pPr>
        <w:spacing w:line="590" w:lineRule="exact"/>
        <w:rPr>
          <w:rFonts w:hint="default" w:ascii="Times New Roman" w:hAnsi="Times New Roman" w:eastAsia="黑体" w:cs="Times New Roman"/>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8</w:t>
      </w:r>
    </w:p>
    <w:p>
      <w:pPr>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放射诊疗机构随机监督抽查汇总表</w:t>
      </w:r>
    </w:p>
    <w:tbl>
      <w:tblPr>
        <w:tblStyle w:val="6"/>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03"/>
        <w:gridCol w:w="596"/>
        <w:gridCol w:w="809"/>
        <w:gridCol w:w="704"/>
        <w:gridCol w:w="704"/>
        <w:gridCol w:w="704"/>
        <w:gridCol w:w="767"/>
        <w:gridCol w:w="850"/>
        <w:gridCol w:w="849"/>
        <w:gridCol w:w="714"/>
        <w:gridCol w:w="704"/>
        <w:gridCol w:w="709"/>
        <w:gridCol w:w="713"/>
        <w:gridCol w:w="718"/>
        <w:gridCol w:w="649"/>
        <w:gridCol w:w="841"/>
        <w:gridCol w:w="823"/>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w:t>
            </w:r>
          </w:p>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类别</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检查单位数</w:t>
            </w:r>
          </w:p>
        </w:tc>
        <w:tc>
          <w:tcPr>
            <w:tcW w:w="10435" w:type="dxa"/>
            <w:gridSpan w:val="1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不合格情况</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p>
        </w:tc>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开展放射诊疗的人员条件不符合有关规定单位数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对患者、受检者及其他非放射工作人员的保护不符合有关规定单位数</w:t>
            </w: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职业病人管理不符合有关规定单位数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档案管理与体系建设不符合有关规定单位数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X射线诊断管理不符合有关规定单位数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介入放射诊疗管理不符合有关规定单位数</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核医学诊疗管理不符合有关规定单位数</w:t>
            </w: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放射治疗管理不符合有关规定单位数</w:t>
            </w:r>
          </w:p>
        </w:tc>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管理制度不符合有关规定单位数</w:t>
            </w:r>
          </w:p>
          <w:p>
            <w:pPr>
              <w:spacing w:line="240" w:lineRule="exact"/>
              <w:jc w:val="center"/>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案件查处数</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罚没款金额</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放射诊疗机构</w:t>
            </w:r>
          </w:p>
        </w:tc>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合计</w:t>
            </w:r>
          </w:p>
        </w:tc>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Cs w:val="21"/>
              </w:rPr>
            </w:pPr>
          </w:p>
        </w:tc>
      </w:tr>
    </w:tbl>
    <w:p>
      <w:pPr>
        <w:rPr>
          <w:rFonts w:ascii="Times New Roman" w:hAnsi="Times New Roman" w:eastAsia="仿宋_GB2312"/>
          <w:color w:val="auto"/>
          <w:sz w:val="32"/>
          <w:szCs w:val="22"/>
        </w:rPr>
      </w:pPr>
    </w:p>
    <w:p>
      <w:pPr>
        <w:pStyle w:val="3"/>
        <w:rPr>
          <w:rFonts w:ascii="Times New Roman" w:hAnsi="Times New Roman"/>
          <w:color w:val="auto"/>
        </w:rPr>
      </w:pPr>
    </w:p>
    <w:p>
      <w:pPr>
        <w:spacing w:line="590" w:lineRule="exact"/>
        <w:rPr>
          <w:rFonts w:hint="default" w:ascii="Times New Roman" w:hAnsi="Times New Roman" w:eastAsia="黑体" w:cs="Times New Roman"/>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9</w:t>
      </w:r>
    </w:p>
    <w:p>
      <w:pPr>
        <w:spacing w:line="240" w:lineRule="atLeast"/>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职业健康检查机构、职业病诊断机构</w:t>
      </w:r>
      <w:r>
        <w:rPr>
          <w:rFonts w:hint="default" w:ascii="Times New Roman" w:hAnsi="Times New Roman" w:eastAsia="方正小标宋简体" w:cs="Times New Roman"/>
          <w:bCs/>
          <w:color w:val="auto"/>
          <w:sz w:val="44"/>
          <w:szCs w:val="44"/>
        </w:rPr>
        <w:t>随机监督抽查汇总表</w:t>
      </w:r>
    </w:p>
    <w:tbl>
      <w:tblPr>
        <w:tblStyle w:val="6"/>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2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未在备案范围内开展工作单位数</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案件查处数</w:t>
            </w: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罚没款金额</w:t>
            </w:r>
            <w:r>
              <w:rPr>
                <w:rFonts w:hint="default"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_GB2312" w:cs="Times New Roman"/>
                <w:color w:val="auto"/>
                <w:sz w:val="24"/>
                <w:szCs w:val="22"/>
              </w:rPr>
            </w:pPr>
          </w:p>
        </w:tc>
      </w:tr>
    </w:tbl>
    <w:p>
      <w:pPr>
        <w:rPr>
          <w:rFonts w:ascii="Times New Roman" w:hAnsi="Times New Roman"/>
          <w:color w:val="auto"/>
          <w:szCs w:val="22"/>
        </w:rPr>
      </w:pPr>
    </w:p>
    <w:p>
      <w:pPr>
        <w:spacing w:before="156" w:beforeLines="50" w:line="600" w:lineRule="exact"/>
        <w:jc w:val="left"/>
        <w:rPr>
          <w:rFonts w:hint="default" w:ascii="Times New Roman" w:hAnsi="Times New Roman" w:eastAsia="黑体"/>
          <w:color w:val="auto"/>
          <w:sz w:val="32"/>
          <w:szCs w:val="32"/>
        </w:rPr>
      </w:pPr>
    </w:p>
    <w:p>
      <w:pPr>
        <w:spacing w:line="590" w:lineRule="exact"/>
        <w:rPr>
          <w:rFonts w:hint="default" w:ascii="Times New Roman" w:hAnsi="Times New Roman" w:eastAsia="黑体" w:cs="Times New Roman"/>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10</w:t>
      </w:r>
    </w:p>
    <w:p>
      <w:pPr>
        <w:spacing w:before="156" w:beforeLines="50"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22"/>
        </w:rPr>
        <w:t>2025年职业卫生</w:t>
      </w:r>
      <w:r>
        <w:rPr>
          <w:rFonts w:hint="default" w:ascii="Times New Roman" w:hAnsi="Times New Roman" w:eastAsia="方正小标宋简体" w:cs="Times New Roman"/>
          <w:bCs/>
          <w:color w:val="auto"/>
          <w:sz w:val="44"/>
          <w:szCs w:val="22"/>
          <w:lang w:eastAsia="zh-CN"/>
        </w:rPr>
        <w:t>和</w:t>
      </w:r>
      <w:r>
        <w:rPr>
          <w:rFonts w:hint="default" w:ascii="Times New Roman" w:hAnsi="Times New Roman" w:eastAsia="方正小标宋简体" w:cs="Times New Roman"/>
          <w:bCs/>
          <w:color w:val="auto"/>
          <w:sz w:val="44"/>
          <w:szCs w:val="22"/>
        </w:rPr>
        <w:t>放射卫生随机监督抽查任务清单</w:t>
      </w:r>
    </w:p>
    <w:p>
      <w:pPr>
        <w:spacing w:line="240" w:lineRule="exact"/>
        <w:ind w:right="-643" w:rightChars="-306"/>
        <w:rPr>
          <w:rFonts w:ascii="Times New Roman" w:hAnsi="Times New Roman" w:eastAsia="华文仿宋"/>
          <w:color w:val="auto"/>
          <w:szCs w:val="21"/>
        </w:rPr>
      </w:pPr>
      <w:r>
        <w:rPr>
          <w:rFonts w:ascii="Times New Roman" w:hAnsi="Times New Roman" w:eastAsia="华文仿宋"/>
          <w:color w:val="auto"/>
          <w:szCs w:val="21"/>
        </w:rPr>
        <w:t xml:space="preserve">  </w:t>
      </w:r>
    </w:p>
    <w:tbl>
      <w:tblPr>
        <w:tblStyle w:val="6"/>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707"/>
        <w:gridCol w:w="2217"/>
        <w:gridCol w:w="1650"/>
        <w:gridCol w:w="2523"/>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单位类别</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辖区单位总数</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抽查单位数</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抽取比例</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用人单位</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技术服务</w:t>
            </w:r>
          </w:p>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机构</w:t>
            </w:r>
          </w:p>
        </w:tc>
        <w:tc>
          <w:tcPr>
            <w:tcW w:w="3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职业卫生</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放射卫生</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职业健康检查机构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职业病诊断机构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放射诊疗机构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auto"/>
                <w:szCs w:val="22"/>
              </w:rPr>
            </w:pPr>
          </w:p>
        </w:tc>
      </w:tr>
    </w:tbl>
    <w:p>
      <w:pPr>
        <w:pStyle w:val="3"/>
        <w:rPr>
          <w:rFonts w:ascii="Times New Roman" w:hAnsi="Times New Roman"/>
          <w:color w:val="auto"/>
        </w:rPr>
      </w:pPr>
    </w:p>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00"/>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A/7S7LcBAABUAwAADgAAAAAAAAABACAAAAAfAQAAZHJzL2Uyb0RvYy54bWxQSwUGAAAAAAYABgBZ&#10;AQAAS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Ck&#10;i7NptgEAAFQDAAAOAAAAAAAAAAEAIAAAAB8BAABkcnMvZTJvRG9jLnhtbFBLBQYAAAAABgAGAFkB&#10;AABH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D52ED"/>
    <w:rsid w:val="4EAC6F5E"/>
    <w:rsid w:val="6F9A79E5"/>
    <w:rsid w:val="71DE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